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D5F7" w14:textId="77777777" w:rsidR="00CA377A" w:rsidRDefault="00CA377A" w:rsidP="00CA377A">
      <w:pPr>
        <w:rPr>
          <w:rFonts w:ascii="Tahoma" w:hAnsi="Tahoma" w:cs="Tahoma"/>
          <w:b/>
          <w:bCs/>
          <w:color w:val="FF6600"/>
          <w:sz w:val="32"/>
        </w:rPr>
      </w:pPr>
    </w:p>
    <w:p w14:paraId="4E6834D4" w14:textId="77777777" w:rsidR="00CA377A" w:rsidRDefault="00CA377A" w:rsidP="00CA377A">
      <w:pPr>
        <w:rPr>
          <w:rFonts w:ascii="Tahoma" w:hAnsi="Tahoma" w:cs="Tahoma"/>
          <w:b/>
          <w:bCs/>
          <w:color w:val="FF6600"/>
          <w:sz w:val="32"/>
        </w:rPr>
      </w:pPr>
    </w:p>
    <w:p w14:paraId="0EBF8987" w14:textId="77777777" w:rsidR="00CA377A" w:rsidRDefault="00CA377A" w:rsidP="00CA377A">
      <w:pPr>
        <w:rPr>
          <w:rFonts w:ascii="Tahoma" w:hAnsi="Tahoma" w:cs="Tahoma"/>
          <w:b/>
          <w:bCs/>
          <w:color w:val="FF6600"/>
          <w:sz w:val="32"/>
        </w:rPr>
      </w:pPr>
    </w:p>
    <w:p w14:paraId="650BB1B8" w14:textId="77777777" w:rsidR="00CA377A" w:rsidRDefault="00CA377A" w:rsidP="00CA377A">
      <w:pPr>
        <w:jc w:val="center"/>
        <w:rPr>
          <w:rFonts w:ascii="Tahoma" w:hAnsi="Tahoma" w:cs="Tahoma"/>
          <w:b/>
          <w:bCs/>
          <w:color w:val="FF6600"/>
          <w:sz w:val="32"/>
        </w:rPr>
      </w:pPr>
    </w:p>
    <w:p w14:paraId="0CADCA18" w14:textId="77777777" w:rsidR="00CA377A" w:rsidRDefault="00CA377A" w:rsidP="00CA377A">
      <w:pPr>
        <w:rPr>
          <w:rFonts w:cs="Tahoma"/>
          <w:b/>
          <w:bCs/>
          <w:color w:val="333399"/>
          <w:sz w:val="52"/>
        </w:rPr>
      </w:pPr>
    </w:p>
    <w:p w14:paraId="022EC3EE" w14:textId="77777777" w:rsidR="00CA377A" w:rsidRPr="002F5032" w:rsidRDefault="00CA377A" w:rsidP="00CA377A">
      <w:pPr>
        <w:pStyle w:val="Heading3"/>
        <w:rPr>
          <w:sz w:val="44"/>
          <w:szCs w:val="44"/>
        </w:rPr>
      </w:pPr>
      <w:r w:rsidRPr="002F5032">
        <w:rPr>
          <w:sz w:val="44"/>
          <w:szCs w:val="44"/>
        </w:rPr>
        <w:t>ICBC TURKEY BANK A.Ş.</w:t>
      </w:r>
    </w:p>
    <w:p w14:paraId="571F2055" w14:textId="23E69F2A" w:rsidR="00CA377A" w:rsidRPr="002F5032" w:rsidRDefault="00CA377A" w:rsidP="00CA377A">
      <w:pPr>
        <w:pStyle w:val="Heading1"/>
        <w:jc w:val="center"/>
        <w:rPr>
          <w:rFonts w:ascii="Tahoma" w:hAnsi="Tahoma" w:cs="Tahoma"/>
          <w:color w:val="FF0000"/>
          <w:sz w:val="44"/>
          <w:szCs w:val="44"/>
        </w:rPr>
      </w:pPr>
      <w:r w:rsidRPr="002F5032">
        <w:rPr>
          <w:rFonts w:ascii="Tahoma" w:hAnsi="Tahoma" w:cs="Tahoma"/>
          <w:color w:val="FF0000"/>
          <w:sz w:val="44"/>
          <w:szCs w:val="44"/>
        </w:rPr>
        <w:t>20</w:t>
      </w:r>
      <w:r>
        <w:rPr>
          <w:rFonts w:ascii="Tahoma" w:hAnsi="Tahoma" w:cs="Tahoma"/>
          <w:color w:val="FF0000"/>
          <w:sz w:val="44"/>
          <w:szCs w:val="44"/>
        </w:rPr>
        <w:t>2</w:t>
      </w:r>
      <w:r w:rsidR="00652476">
        <w:rPr>
          <w:rFonts w:ascii="Tahoma" w:hAnsi="Tahoma" w:cs="Tahoma"/>
          <w:color w:val="FF0000"/>
          <w:sz w:val="44"/>
          <w:szCs w:val="44"/>
        </w:rPr>
        <w:t>3</w:t>
      </w:r>
      <w:r w:rsidRPr="002F5032">
        <w:rPr>
          <w:rFonts w:ascii="Tahoma" w:hAnsi="Tahoma" w:cs="Tahoma"/>
          <w:color w:val="FF0000"/>
          <w:sz w:val="44"/>
          <w:szCs w:val="44"/>
        </w:rPr>
        <w:t xml:space="preserve"> YILI I</w:t>
      </w:r>
      <w:r w:rsidR="00AD2895">
        <w:rPr>
          <w:rFonts w:ascii="Tahoma" w:hAnsi="Tahoma" w:cs="Tahoma"/>
          <w:color w:val="FF0000"/>
          <w:sz w:val="44"/>
          <w:szCs w:val="44"/>
        </w:rPr>
        <w:t>I</w:t>
      </w:r>
      <w:r w:rsidRPr="002F5032">
        <w:rPr>
          <w:rFonts w:ascii="Tahoma" w:hAnsi="Tahoma" w:cs="Tahoma"/>
          <w:color w:val="FF0000"/>
          <w:sz w:val="44"/>
          <w:szCs w:val="44"/>
        </w:rPr>
        <w:t>. DÖNEM</w:t>
      </w:r>
    </w:p>
    <w:p w14:paraId="6028306D" w14:textId="77777777" w:rsidR="00CA377A" w:rsidRPr="002F5032" w:rsidRDefault="00CA377A" w:rsidP="00CA377A">
      <w:pPr>
        <w:pStyle w:val="Heading1"/>
        <w:jc w:val="center"/>
        <w:rPr>
          <w:rFonts w:ascii="Tahoma" w:hAnsi="Tahoma" w:cs="Tahoma"/>
          <w:color w:val="FF0000"/>
          <w:sz w:val="44"/>
          <w:szCs w:val="44"/>
        </w:rPr>
      </w:pPr>
      <w:r w:rsidRPr="002F5032">
        <w:rPr>
          <w:rFonts w:ascii="Tahoma" w:hAnsi="Tahoma" w:cs="Tahoma"/>
          <w:color w:val="FF0000"/>
          <w:sz w:val="44"/>
          <w:szCs w:val="44"/>
        </w:rPr>
        <w:t>KONSOLİDE OLMAYAN FAALİYET RAPORU</w:t>
      </w:r>
    </w:p>
    <w:p w14:paraId="00D6A463" w14:textId="77777777" w:rsidR="00CA377A" w:rsidRPr="002F5032" w:rsidRDefault="00CA377A" w:rsidP="00CA377A">
      <w:pPr>
        <w:jc w:val="center"/>
        <w:rPr>
          <w:rFonts w:ascii="Georgia" w:hAnsi="Georgia" w:cs="Tahoma"/>
          <w:b/>
          <w:bCs/>
          <w:color w:val="FF6600"/>
          <w:sz w:val="32"/>
        </w:rPr>
      </w:pPr>
    </w:p>
    <w:p w14:paraId="456D14D3" w14:textId="77777777" w:rsidR="00CA377A" w:rsidRPr="002F5032" w:rsidRDefault="00CA377A" w:rsidP="00CA377A">
      <w:pPr>
        <w:jc w:val="center"/>
        <w:rPr>
          <w:rFonts w:ascii="Tahoma" w:hAnsi="Tahoma" w:cs="Tahoma"/>
          <w:b/>
          <w:bCs/>
          <w:color w:val="FF6600"/>
          <w:sz w:val="32"/>
        </w:rPr>
      </w:pPr>
    </w:p>
    <w:p w14:paraId="04C4B89A" w14:textId="77777777" w:rsidR="00CA377A" w:rsidRPr="002F5032" w:rsidRDefault="00CA377A" w:rsidP="00CA377A">
      <w:pPr>
        <w:jc w:val="center"/>
        <w:rPr>
          <w:rFonts w:ascii="Tahoma" w:hAnsi="Tahoma" w:cs="Tahoma"/>
          <w:b/>
          <w:bCs/>
          <w:color w:val="FF6600"/>
          <w:sz w:val="32"/>
        </w:rPr>
      </w:pPr>
    </w:p>
    <w:p w14:paraId="09EA91A3" w14:textId="77777777" w:rsidR="00CA377A" w:rsidRPr="002F5032" w:rsidRDefault="00CA377A" w:rsidP="00CA377A">
      <w:pPr>
        <w:jc w:val="center"/>
        <w:rPr>
          <w:rFonts w:ascii="Tahoma" w:hAnsi="Tahoma" w:cs="Tahoma"/>
          <w:b/>
          <w:bCs/>
          <w:color w:val="FF6600"/>
          <w:sz w:val="32"/>
        </w:rPr>
      </w:pPr>
    </w:p>
    <w:p w14:paraId="06E1DBB5" w14:textId="77777777" w:rsidR="00CA377A" w:rsidRPr="002F5032" w:rsidRDefault="00CA377A" w:rsidP="00CA377A">
      <w:pPr>
        <w:jc w:val="center"/>
        <w:rPr>
          <w:rFonts w:ascii="Tahoma" w:hAnsi="Tahoma" w:cs="Tahoma"/>
          <w:b/>
          <w:bCs/>
          <w:color w:val="FF6600"/>
          <w:sz w:val="32"/>
        </w:rPr>
      </w:pPr>
    </w:p>
    <w:p w14:paraId="21B658CA" w14:textId="77777777" w:rsidR="00CA377A" w:rsidRPr="002F5032" w:rsidRDefault="00CA377A" w:rsidP="00CA377A">
      <w:pPr>
        <w:rPr>
          <w:rFonts w:ascii="Tahoma" w:hAnsi="Tahoma" w:cs="Tahoma"/>
          <w:b/>
          <w:bCs/>
          <w:color w:val="FF6600"/>
          <w:sz w:val="32"/>
        </w:rPr>
      </w:pPr>
    </w:p>
    <w:p w14:paraId="6B791366" w14:textId="77777777" w:rsidR="00CA377A" w:rsidRPr="002F5032" w:rsidRDefault="00CA377A" w:rsidP="00CA377A">
      <w:pPr>
        <w:jc w:val="center"/>
        <w:rPr>
          <w:rFonts w:ascii="Tahoma" w:hAnsi="Tahoma" w:cs="Tahoma"/>
          <w:b/>
          <w:bCs/>
          <w:color w:val="FF6600"/>
          <w:sz w:val="32"/>
        </w:rPr>
      </w:pPr>
    </w:p>
    <w:p w14:paraId="1EEA1DFA" w14:textId="77777777" w:rsidR="00CA377A" w:rsidRPr="002F5032" w:rsidRDefault="00CA377A" w:rsidP="00CA377A">
      <w:pPr>
        <w:pStyle w:val="Heading1"/>
        <w:rPr>
          <w:color w:val="FF0000"/>
        </w:rPr>
      </w:pPr>
      <w:r w:rsidRPr="002F5032">
        <w:rPr>
          <w:color w:val="FF0000"/>
        </w:rPr>
        <w:t xml:space="preserve">BANKA İLETİŞİM BİLGİLERİ </w:t>
      </w:r>
    </w:p>
    <w:p w14:paraId="168CC548" w14:textId="77777777" w:rsidR="00CA377A" w:rsidRPr="002F5032" w:rsidRDefault="00CA377A" w:rsidP="00CA377A">
      <w:pPr>
        <w:jc w:val="both"/>
        <w:rPr>
          <w:rFonts w:cs="StagSans-Light"/>
          <w:color w:val="3C3C3B"/>
          <w:sz w:val="24"/>
          <w:lang w:eastAsia="tr-TR"/>
        </w:rPr>
      </w:pPr>
      <w:r w:rsidRPr="002F5032">
        <w:rPr>
          <w:rFonts w:cs="StagSans-Light"/>
          <w:color w:val="3C3C3B"/>
          <w:sz w:val="24"/>
          <w:lang w:eastAsia="tr-TR"/>
        </w:rPr>
        <w:t xml:space="preserve">ICBC Turkey Bank Anonim Şirketi (ICBC Turkey) Türkiye’de yabancı sermayeli mevduat bankası olarak faaliyet göstermektedir. Şubelerimize ve temsilciliğimize ilişkin iletişim bilgilerine, Bankamız internet sitesi “Bize Ulaşın” bölümü altında “Şubeler”,  “ATM” başlıkları altından ulaşılabilmektedir. </w:t>
      </w:r>
    </w:p>
    <w:p w14:paraId="31791D3F" w14:textId="77777777" w:rsidR="00CA377A" w:rsidRPr="002F5032" w:rsidRDefault="00CA377A" w:rsidP="00CA377A">
      <w:pPr>
        <w:rPr>
          <w:rFonts w:cs="StagSans-Light"/>
          <w:color w:val="3C3C3B"/>
          <w:sz w:val="24"/>
          <w:lang w:eastAsia="tr-TR"/>
        </w:rPr>
      </w:pPr>
    </w:p>
    <w:tbl>
      <w:tblPr>
        <w:tblW w:w="0" w:type="auto"/>
        <w:tblBorders>
          <w:top w:val="single" w:sz="4" w:space="0" w:color="auto"/>
          <w:bottom w:val="double" w:sz="6" w:space="0" w:color="auto"/>
        </w:tblBorders>
        <w:tblLayout w:type="fixed"/>
        <w:tblLook w:val="0000" w:firstRow="0" w:lastRow="0" w:firstColumn="0" w:lastColumn="0" w:noHBand="0" w:noVBand="0"/>
      </w:tblPr>
      <w:tblGrid>
        <w:gridCol w:w="4428"/>
        <w:gridCol w:w="360"/>
        <w:gridCol w:w="3780"/>
      </w:tblGrid>
      <w:tr w:rsidR="00CA377A" w:rsidRPr="002F5032" w14:paraId="1AD07BEA" w14:textId="77777777" w:rsidTr="004E08CA">
        <w:tc>
          <w:tcPr>
            <w:tcW w:w="4428" w:type="dxa"/>
          </w:tcPr>
          <w:p w14:paraId="0E63B54F" w14:textId="77777777" w:rsidR="00CA377A" w:rsidRPr="00D22B96" w:rsidRDefault="00CA377A" w:rsidP="004E08CA">
            <w:pPr>
              <w:pStyle w:val="Heading2"/>
              <w:rPr>
                <w:rFonts w:ascii="Cambria" w:hAnsi="Cambria"/>
                <w:color w:val="auto"/>
                <w:szCs w:val="20"/>
              </w:rPr>
            </w:pPr>
            <w:r w:rsidRPr="00D22B96">
              <w:rPr>
                <w:rFonts w:ascii="Cambria" w:hAnsi="Cambria"/>
                <w:color w:val="auto"/>
                <w:szCs w:val="20"/>
              </w:rPr>
              <w:t>Raporun Ait Olduğu Dönem</w:t>
            </w:r>
          </w:p>
        </w:tc>
        <w:tc>
          <w:tcPr>
            <w:tcW w:w="360" w:type="dxa"/>
          </w:tcPr>
          <w:p w14:paraId="222F4CC0"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0BA02C4F" w14:textId="14EB13BA" w:rsidR="00CA377A" w:rsidRPr="002F5032" w:rsidRDefault="00CA377A" w:rsidP="00652476">
            <w:pPr>
              <w:pStyle w:val="TOAHeading"/>
              <w:rPr>
                <w:rFonts w:cs="Tahoma"/>
                <w:b w:val="0"/>
                <w:sz w:val="20"/>
                <w:szCs w:val="20"/>
              </w:rPr>
            </w:pPr>
            <w:r w:rsidRPr="002F5032">
              <w:rPr>
                <w:rFonts w:cs="Tahoma"/>
                <w:b w:val="0"/>
                <w:sz w:val="20"/>
                <w:szCs w:val="20"/>
              </w:rPr>
              <w:t>01.01.20</w:t>
            </w:r>
            <w:r w:rsidR="00D804DD">
              <w:rPr>
                <w:rFonts w:cs="Tahoma"/>
                <w:b w:val="0"/>
                <w:sz w:val="20"/>
                <w:szCs w:val="20"/>
              </w:rPr>
              <w:t>2</w:t>
            </w:r>
            <w:r w:rsidR="00652476">
              <w:rPr>
                <w:rFonts w:cs="Tahoma"/>
                <w:b w:val="0"/>
                <w:sz w:val="20"/>
                <w:szCs w:val="20"/>
              </w:rPr>
              <w:t>3</w:t>
            </w:r>
            <w:r w:rsidR="00D804DD">
              <w:rPr>
                <w:rFonts w:cs="Tahoma"/>
                <w:b w:val="0"/>
                <w:sz w:val="20"/>
                <w:szCs w:val="20"/>
              </w:rPr>
              <w:t xml:space="preserve"> – 3</w:t>
            </w:r>
            <w:r w:rsidR="00AD2895">
              <w:rPr>
                <w:rFonts w:cs="Tahoma"/>
                <w:b w:val="0"/>
                <w:sz w:val="20"/>
                <w:szCs w:val="20"/>
              </w:rPr>
              <w:t>0</w:t>
            </w:r>
            <w:r w:rsidR="00D804DD">
              <w:rPr>
                <w:rFonts w:cs="Tahoma"/>
                <w:b w:val="0"/>
                <w:sz w:val="20"/>
                <w:szCs w:val="20"/>
              </w:rPr>
              <w:t>.0</w:t>
            </w:r>
            <w:r w:rsidR="00AD2895">
              <w:rPr>
                <w:rFonts w:cs="Tahoma"/>
                <w:b w:val="0"/>
                <w:sz w:val="20"/>
                <w:szCs w:val="20"/>
              </w:rPr>
              <w:t>6</w:t>
            </w:r>
            <w:r>
              <w:rPr>
                <w:rFonts w:cs="Tahoma"/>
                <w:b w:val="0"/>
                <w:sz w:val="20"/>
                <w:szCs w:val="20"/>
              </w:rPr>
              <w:t>.202</w:t>
            </w:r>
            <w:r w:rsidR="00652476">
              <w:rPr>
                <w:rFonts w:cs="Tahoma"/>
                <w:b w:val="0"/>
                <w:sz w:val="20"/>
                <w:szCs w:val="20"/>
              </w:rPr>
              <w:t>3</w:t>
            </w:r>
          </w:p>
        </w:tc>
      </w:tr>
      <w:tr w:rsidR="00CA377A" w:rsidRPr="002F5032" w14:paraId="729AB2E2" w14:textId="77777777" w:rsidTr="004E08CA">
        <w:tc>
          <w:tcPr>
            <w:tcW w:w="4428" w:type="dxa"/>
          </w:tcPr>
          <w:p w14:paraId="4B2E6FBD" w14:textId="77777777" w:rsidR="00CA377A" w:rsidRPr="002F5032" w:rsidRDefault="00CA377A" w:rsidP="004E08CA">
            <w:pPr>
              <w:rPr>
                <w:rFonts w:cs="Tahoma"/>
                <w:b/>
                <w:bCs/>
                <w:sz w:val="20"/>
                <w:szCs w:val="20"/>
              </w:rPr>
            </w:pPr>
            <w:r w:rsidRPr="002F5032">
              <w:rPr>
                <w:rFonts w:cs="Tahoma"/>
                <w:b/>
                <w:bCs/>
                <w:sz w:val="20"/>
                <w:szCs w:val="20"/>
              </w:rPr>
              <w:t>Bankanın Ticaret Unvanı</w:t>
            </w:r>
          </w:p>
        </w:tc>
        <w:tc>
          <w:tcPr>
            <w:tcW w:w="360" w:type="dxa"/>
          </w:tcPr>
          <w:p w14:paraId="4F81742F"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345316B3" w14:textId="77777777" w:rsidR="00CA377A" w:rsidRPr="002F5032" w:rsidRDefault="00CA377A" w:rsidP="004E08CA">
            <w:pPr>
              <w:rPr>
                <w:rFonts w:cs="Tahoma"/>
                <w:bCs/>
                <w:sz w:val="20"/>
                <w:szCs w:val="20"/>
              </w:rPr>
            </w:pPr>
            <w:r w:rsidRPr="002F5032">
              <w:rPr>
                <w:rFonts w:cs="Tahoma"/>
                <w:bCs/>
                <w:sz w:val="20"/>
                <w:szCs w:val="20"/>
              </w:rPr>
              <w:t>ICBC Turkey Bank A.Ş.</w:t>
            </w:r>
          </w:p>
        </w:tc>
      </w:tr>
      <w:tr w:rsidR="00CA377A" w:rsidRPr="002F5032" w14:paraId="39998E50" w14:textId="77777777" w:rsidTr="004E08CA">
        <w:tc>
          <w:tcPr>
            <w:tcW w:w="4428" w:type="dxa"/>
          </w:tcPr>
          <w:p w14:paraId="33CD6A7C" w14:textId="77777777" w:rsidR="00CA377A" w:rsidRPr="002F5032" w:rsidRDefault="00CA377A" w:rsidP="004E08CA">
            <w:pPr>
              <w:rPr>
                <w:rFonts w:cs="Tahoma"/>
                <w:b/>
                <w:bCs/>
                <w:sz w:val="20"/>
                <w:szCs w:val="20"/>
              </w:rPr>
            </w:pPr>
            <w:r w:rsidRPr="002F5032">
              <w:rPr>
                <w:rFonts w:cs="Tahoma"/>
                <w:b/>
                <w:bCs/>
                <w:sz w:val="20"/>
                <w:szCs w:val="20"/>
              </w:rPr>
              <w:t>Rapor Para Birimi</w:t>
            </w:r>
          </w:p>
        </w:tc>
        <w:tc>
          <w:tcPr>
            <w:tcW w:w="360" w:type="dxa"/>
          </w:tcPr>
          <w:p w14:paraId="6A7ADD8D"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06926782" w14:textId="77777777" w:rsidR="00CA377A" w:rsidRPr="002F5032" w:rsidRDefault="00CA377A" w:rsidP="004E08CA">
            <w:pPr>
              <w:rPr>
                <w:rFonts w:cs="Tahoma"/>
                <w:bCs/>
                <w:sz w:val="20"/>
                <w:szCs w:val="20"/>
              </w:rPr>
            </w:pPr>
            <w:r w:rsidRPr="002F5032">
              <w:rPr>
                <w:rFonts w:cs="Tahoma"/>
                <w:bCs/>
                <w:sz w:val="20"/>
                <w:szCs w:val="20"/>
              </w:rPr>
              <w:t>Tüm tutarlar aksi belirtilmediği müddetçe Bin TL olarak verilmiştir.</w:t>
            </w:r>
          </w:p>
        </w:tc>
      </w:tr>
      <w:tr w:rsidR="00CA377A" w:rsidRPr="002F5032" w14:paraId="74925690" w14:textId="77777777" w:rsidTr="004E08CA">
        <w:tc>
          <w:tcPr>
            <w:tcW w:w="4428" w:type="dxa"/>
          </w:tcPr>
          <w:p w14:paraId="52F573B8" w14:textId="77777777" w:rsidR="00CA377A" w:rsidRPr="002F5032" w:rsidRDefault="00CA377A" w:rsidP="004E08CA">
            <w:pPr>
              <w:rPr>
                <w:rFonts w:cs="Tahoma"/>
                <w:b/>
                <w:bCs/>
                <w:sz w:val="20"/>
                <w:szCs w:val="20"/>
              </w:rPr>
            </w:pPr>
            <w:r w:rsidRPr="002F5032">
              <w:rPr>
                <w:rFonts w:cs="Tahoma"/>
                <w:b/>
                <w:bCs/>
                <w:sz w:val="20"/>
                <w:szCs w:val="20"/>
              </w:rPr>
              <w:t>Bankanın Ticaret Sicil Numarası</w:t>
            </w:r>
          </w:p>
        </w:tc>
        <w:tc>
          <w:tcPr>
            <w:tcW w:w="360" w:type="dxa"/>
          </w:tcPr>
          <w:p w14:paraId="2D653FD3" w14:textId="77777777" w:rsidR="00CA377A" w:rsidRPr="002F5032" w:rsidRDefault="00CA377A" w:rsidP="004E08CA">
            <w:pPr>
              <w:rPr>
                <w:rFonts w:cs="Tahoma"/>
                <w:b/>
                <w:bCs/>
                <w:sz w:val="20"/>
                <w:szCs w:val="20"/>
              </w:rPr>
            </w:pPr>
          </w:p>
        </w:tc>
        <w:tc>
          <w:tcPr>
            <w:tcW w:w="3780" w:type="dxa"/>
          </w:tcPr>
          <w:p w14:paraId="204E3D4C" w14:textId="77777777" w:rsidR="00CA377A" w:rsidRPr="002F5032" w:rsidRDefault="00CA377A" w:rsidP="004E08CA">
            <w:pPr>
              <w:rPr>
                <w:rFonts w:cs="Tahoma"/>
                <w:bCs/>
                <w:sz w:val="20"/>
                <w:szCs w:val="20"/>
              </w:rPr>
            </w:pPr>
            <w:r w:rsidRPr="002F5032">
              <w:rPr>
                <w:rFonts w:cs="Tahoma"/>
                <w:bCs/>
                <w:sz w:val="20"/>
                <w:szCs w:val="20"/>
              </w:rPr>
              <w:t>224058 – İstanbul Ticaret Odası</w:t>
            </w:r>
          </w:p>
        </w:tc>
      </w:tr>
      <w:tr w:rsidR="00CA377A" w:rsidRPr="002F5032" w14:paraId="624CB123" w14:textId="77777777" w:rsidTr="004E08CA">
        <w:tc>
          <w:tcPr>
            <w:tcW w:w="4428" w:type="dxa"/>
          </w:tcPr>
          <w:p w14:paraId="2D0FB6DE" w14:textId="77777777" w:rsidR="00CA377A" w:rsidRPr="002F5032" w:rsidRDefault="00CA377A" w:rsidP="004E08CA">
            <w:pPr>
              <w:rPr>
                <w:rFonts w:cs="Tahoma"/>
                <w:b/>
                <w:bCs/>
                <w:sz w:val="20"/>
                <w:szCs w:val="20"/>
              </w:rPr>
            </w:pPr>
            <w:r w:rsidRPr="002F5032">
              <w:rPr>
                <w:rFonts w:cs="Tahoma"/>
                <w:b/>
                <w:bCs/>
                <w:sz w:val="20"/>
                <w:szCs w:val="20"/>
              </w:rPr>
              <w:t>Genel Müdürlük Adresi</w:t>
            </w:r>
          </w:p>
        </w:tc>
        <w:tc>
          <w:tcPr>
            <w:tcW w:w="360" w:type="dxa"/>
          </w:tcPr>
          <w:p w14:paraId="4EE7337F"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16AF689B" w14:textId="77777777" w:rsidR="00CA377A" w:rsidRPr="002F5032" w:rsidRDefault="00CA377A" w:rsidP="004E08CA">
            <w:pPr>
              <w:rPr>
                <w:rFonts w:cs="Tahoma"/>
                <w:bCs/>
                <w:sz w:val="20"/>
                <w:szCs w:val="20"/>
              </w:rPr>
            </w:pPr>
            <w:r w:rsidRPr="002F5032">
              <w:rPr>
                <w:rFonts w:cs="Tahoma"/>
                <w:bCs/>
                <w:sz w:val="20"/>
                <w:szCs w:val="20"/>
              </w:rPr>
              <w:t>Maslak Mah. Dereboyu/2 Cad. No:13 34398 Sarıyer – İstanbul</w:t>
            </w:r>
          </w:p>
        </w:tc>
      </w:tr>
      <w:tr w:rsidR="00CA377A" w:rsidRPr="002F5032" w14:paraId="18C46E12" w14:textId="77777777" w:rsidTr="004E08CA">
        <w:tc>
          <w:tcPr>
            <w:tcW w:w="4428" w:type="dxa"/>
          </w:tcPr>
          <w:p w14:paraId="333479B6" w14:textId="77777777" w:rsidR="00CA377A" w:rsidRPr="002F5032" w:rsidRDefault="00CA377A" w:rsidP="004E08CA">
            <w:pPr>
              <w:rPr>
                <w:rFonts w:cs="Tahoma"/>
                <w:b/>
                <w:bCs/>
                <w:sz w:val="20"/>
                <w:szCs w:val="20"/>
              </w:rPr>
            </w:pPr>
            <w:r w:rsidRPr="002F5032">
              <w:rPr>
                <w:rFonts w:cs="Tahoma"/>
                <w:b/>
                <w:bCs/>
                <w:sz w:val="20"/>
                <w:szCs w:val="20"/>
              </w:rPr>
              <w:t>Genel Müdürlük Telefonu</w:t>
            </w:r>
          </w:p>
        </w:tc>
        <w:tc>
          <w:tcPr>
            <w:tcW w:w="360" w:type="dxa"/>
          </w:tcPr>
          <w:p w14:paraId="7F2E0777"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23E163F5" w14:textId="77777777" w:rsidR="00CA377A" w:rsidRPr="002F5032" w:rsidRDefault="00CA377A" w:rsidP="004E08CA">
            <w:pPr>
              <w:rPr>
                <w:rFonts w:cs="Tahoma"/>
                <w:bCs/>
                <w:sz w:val="20"/>
                <w:szCs w:val="20"/>
              </w:rPr>
            </w:pPr>
            <w:r w:rsidRPr="002F5032">
              <w:rPr>
                <w:rFonts w:cs="Tahoma"/>
                <w:bCs/>
                <w:sz w:val="20"/>
                <w:szCs w:val="20"/>
              </w:rPr>
              <w:t>0212 335 53 35</w:t>
            </w:r>
          </w:p>
        </w:tc>
      </w:tr>
      <w:tr w:rsidR="00CA377A" w:rsidRPr="002F5032" w14:paraId="2A4DB71C" w14:textId="77777777" w:rsidTr="004E08CA">
        <w:tc>
          <w:tcPr>
            <w:tcW w:w="4428" w:type="dxa"/>
          </w:tcPr>
          <w:p w14:paraId="42BF67A1" w14:textId="77777777" w:rsidR="00CA377A" w:rsidRPr="002F5032" w:rsidRDefault="00CA377A" w:rsidP="004E08CA">
            <w:pPr>
              <w:rPr>
                <w:rFonts w:cs="Tahoma"/>
                <w:b/>
                <w:bCs/>
                <w:sz w:val="20"/>
                <w:szCs w:val="20"/>
              </w:rPr>
            </w:pPr>
            <w:r w:rsidRPr="002F5032">
              <w:rPr>
                <w:rFonts w:cs="Tahoma"/>
                <w:b/>
                <w:bCs/>
                <w:sz w:val="20"/>
                <w:szCs w:val="20"/>
              </w:rPr>
              <w:t>Genel Müdürlük Faks Numarası</w:t>
            </w:r>
          </w:p>
        </w:tc>
        <w:tc>
          <w:tcPr>
            <w:tcW w:w="360" w:type="dxa"/>
          </w:tcPr>
          <w:p w14:paraId="43F76314"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04A0DD12" w14:textId="77777777" w:rsidR="00CA377A" w:rsidRPr="002F5032" w:rsidRDefault="00CA377A" w:rsidP="004E08CA">
            <w:pPr>
              <w:rPr>
                <w:rFonts w:cs="Tahoma"/>
                <w:bCs/>
                <w:sz w:val="20"/>
                <w:szCs w:val="20"/>
              </w:rPr>
            </w:pPr>
            <w:r w:rsidRPr="002F5032">
              <w:rPr>
                <w:rFonts w:cs="Tahoma"/>
                <w:bCs/>
                <w:sz w:val="20"/>
                <w:szCs w:val="20"/>
              </w:rPr>
              <w:t>0212 328 13 28</w:t>
            </w:r>
          </w:p>
        </w:tc>
      </w:tr>
      <w:tr w:rsidR="00CA377A" w:rsidRPr="002F5032" w14:paraId="7985BFD1" w14:textId="77777777" w:rsidTr="004E08CA">
        <w:tc>
          <w:tcPr>
            <w:tcW w:w="4428" w:type="dxa"/>
          </w:tcPr>
          <w:p w14:paraId="02767029" w14:textId="77777777" w:rsidR="00CA377A" w:rsidRPr="002F5032" w:rsidRDefault="00CA377A" w:rsidP="004E08CA">
            <w:pPr>
              <w:rPr>
                <w:rFonts w:cs="Tahoma"/>
                <w:b/>
                <w:bCs/>
                <w:sz w:val="20"/>
                <w:szCs w:val="20"/>
              </w:rPr>
            </w:pPr>
            <w:r w:rsidRPr="002F5032">
              <w:rPr>
                <w:rFonts w:cs="Tahoma"/>
                <w:b/>
                <w:bCs/>
                <w:sz w:val="20"/>
                <w:szCs w:val="20"/>
              </w:rPr>
              <w:t>İnternet Sitesi Adresi</w:t>
            </w:r>
          </w:p>
        </w:tc>
        <w:tc>
          <w:tcPr>
            <w:tcW w:w="360" w:type="dxa"/>
          </w:tcPr>
          <w:p w14:paraId="14B99736"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2EEA9C95" w14:textId="77777777" w:rsidR="00CA377A" w:rsidRPr="002F5032" w:rsidRDefault="00AB09FB" w:rsidP="004E08CA">
            <w:pPr>
              <w:rPr>
                <w:rFonts w:cs="Tahoma"/>
                <w:bCs/>
                <w:sz w:val="20"/>
                <w:szCs w:val="20"/>
              </w:rPr>
            </w:pPr>
            <w:hyperlink r:id="rId9" w:history="1">
              <w:r w:rsidR="00CA377A" w:rsidRPr="002F5032">
                <w:rPr>
                  <w:rStyle w:val="Hyperlink"/>
                  <w:rFonts w:cs="Tahoma"/>
                  <w:bCs/>
                  <w:sz w:val="20"/>
                  <w:szCs w:val="20"/>
                </w:rPr>
                <w:t>www.icbc.com.tr</w:t>
              </w:r>
            </w:hyperlink>
          </w:p>
        </w:tc>
      </w:tr>
      <w:tr w:rsidR="00CA377A" w:rsidRPr="002F5032" w14:paraId="114ED848" w14:textId="77777777" w:rsidTr="004E08CA">
        <w:tc>
          <w:tcPr>
            <w:tcW w:w="4428" w:type="dxa"/>
          </w:tcPr>
          <w:p w14:paraId="1B1C9DE7" w14:textId="77777777" w:rsidR="00CA377A" w:rsidRPr="002F5032" w:rsidRDefault="00CA377A" w:rsidP="004E08CA">
            <w:pPr>
              <w:rPr>
                <w:rFonts w:cs="Tahoma"/>
                <w:b/>
                <w:bCs/>
                <w:sz w:val="20"/>
                <w:szCs w:val="20"/>
              </w:rPr>
            </w:pPr>
            <w:r w:rsidRPr="002F5032">
              <w:rPr>
                <w:rFonts w:cs="Tahoma"/>
                <w:b/>
                <w:bCs/>
                <w:sz w:val="20"/>
                <w:szCs w:val="20"/>
              </w:rPr>
              <w:t xml:space="preserve">Elektronik posta </w:t>
            </w:r>
          </w:p>
        </w:tc>
        <w:tc>
          <w:tcPr>
            <w:tcW w:w="360" w:type="dxa"/>
          </w:tcPr>
          <w:p w14:paraId="33E26CD4" w14:textId="77777777" w:rsidR="00CA377A" w:rsidRPr="002F5032" w:rsidRDefault="00CA377A" w:rsidP="004E08CA">
            <w:pPr>
              <w:rPr>
                <w:rFonts w:cs="Tahoma"/>
                <w:b/>
                <w:bCs/>
                <w:sz w:val="20"/>
                <w:szCs w:val="20"/>
              </w:rPr>
            </w:pPr>
            <w:r w:rsidRPr="002F5032">
              <w:rPr>
                <w:rFonts w:cs="Tahoma"/>
                <w:b/>
                <w:bCs/>
                <w:sz w:val="20"/>
                <w:szCs w:val="20"/>
              </w:rPr>
              <w:t>:</w:t>
            </w:r>
          </w:p>
        </w:tc>
        <w:tc>
          <w:tcPr>
            <w:tcW w:w="3780" w:type="dxa"/>
          </w:tcPr>
          <w:p w14:paraId="1075C68D" w14:textId="77777777" w:rsidR="00CA377A" w:rsidRPr="002F5032" w:rsidRDefault="00CA377A" w:rsidP="004E08CA">
            <w:pPr>
              <w:rPr>
                <w:rFonts w:cs="Tahoma"/>
                <w:bCs/>
                <w:sz w:val="20"/>
                <w:szCs w:val="20"/>
              </w:rPr>
            </w:pPr>
            <w:r w:rsidRPr="002F5032">
              <w:rPr>
                <w:rFonts w:cs="Tahoma"/>
                <w:bCs/>
                <w:sz w:val="20"/>
                <w:szCs w:val="20"/>
              </w:rPr>
              <w:t>info@icbc.com.tr</w:t>
            </w:r>
          </w:p>
        </w:tc>
      </w:tr>
    </w:tbl>
    <w:p w14:paraId="18CBF975" w14:textId="77777777" w:rsidR="00CA377A" w:rsidRPr="002F5032" w:rsidRDefault="00CA377A" w:rsidP="00CA377A">
      <w:pPr>
        <w:pStyle w:val="anayaz"/>
      </w:pPr>
    </w:p>
    <w:p w14:paraId="642DB2ED" w14:textId="77777777" w:rsidR="00CA377A" w:rsidRPr="002F5032" w:rsidRDefault="00CA377A" w:rsidP="00CA377A">
      <w:pPr>
        <w:rPr>
          <w:rFonts w:ascii="Tahoma" w:hAnsi="Tahoma" w:cs="Tahoma"/>
          <w:b/>
          <w:bCs/>
        </w:rPr>
      </w:pPr>
    </w:p>
    <w:p w14:paraId="48361B7E" w14:textId="77777777" w:rsidR="00CA377A" w:rsidRPr="002F5032" w:rsidRDefault="00CA377A" w:rsidP="00CA377A">
      <w:pPr>
        <w:rPr>
          <w:rFonts w:ascii="Tahoma" w:hAnsi="Tahoma" w:cs="Tahoma"/>
          <w:b/>
          <w:bCs/>
        </w:rPr>
      </w:pPr>
    </w:p>
    <w:p w14:paraId="5EC9921B" w14:textId="77777777" w:rsidR="00CA377A" w:rsidRPr="002F5032" w:rsidRDefault="00CA377A" w:rsidP="00CA377A">
      <w:pPr>
        <w:pStyle w:val="Heading1"/>
        <w:jc w:val="center"/>
      </w:pPr>
      <w:r w:rsidRPr="002F5032">
        <w:t>SERMAYE PİYASASI KURULU’NUN</w:t>
      </w:r>
    </w:p>
    <w:p w14:paraId="75F6EDC5" w14:textId="77777777" w:rsidR="00CA377A" w:rsidRPr="002F5032" w:rsidRDefault="00CA377A" w:rsidP="00CA377A">
      <w:pPr>
        <w:pStyle w:val="Heading1"/>
        <w:spacing w:before="0" w:after="0"/>
        <w:jc w:val="center"/>
      </w:pPr>
      <w:r w:rsidRPr="002F5032">
        <w:t xml:space="preserve">SERMAYE PİYASASINDA FİNANSAL RAPORLAMAYA İLİŞKİN ESASLAR TEBLİĞİ (II-14.1) </w:t>
      </w:r>
    </w:p>
    <w:p w14:paraId="1D0CA836" w14:textId="77777777" w:rsidR="00CA377A" w:rsidRPr="002F5032" w:rsidRDefault="00CA377A" w:rsidP="00CA377A">
      <w:pPr>
        <w:pStyle w:val="Heading1"/>
        <w:spacing w:before="0" w:after="0"/>
        <w:jc w:val="center"/>
      </w:pPr>
      <w:r w:rsidRPr="002F5032">
        <w:t>İKİNCİ BÖLÜMÜNÜN 9. MADDESİ GEREĞİNCE</w:t>
      </w:r>
    </w:p>
    <w:p w14:paraId="099DED06" w14:textId="77777777" w:rsidR="00CA377A" w:rsidRPr="002F5032" w:rsidRDefault="00CA377A" w:rsidP="00CA377A">
      <w:pPr>
        <w:pStyle w:val="Heading1"/>
        <w:spacing w:before="0" w:after="0"/>
        <w:jc w:val="center"/>
      </w:pPr>
      <w:r w:rsidRPr="002F5032">
        <w:t>KONSOLİDE OLMAYAN SORUMLULUK BEYANI</w:t>
      </w:r>
    </w:p>
    <w:p w14:paraId="0A9AA4A6" w14:textId="77777777" w:rsidR="00CA377A" w:rsidRPr="002F5032" w:rsidRDefault="00CA377A" w:rsidP="00CA377A">
      <w:pPr>
        <w:jc w:val="both"/>
        <w:rPr>
          <w:rFonts w:ascii="Tahoma" w:hAnsi="Tahoma" w:cs="Tahoma"/>
          <w:b/>
          <w:bCs/>
          <w:color w:val="99CCFF"/>
        </w:rPr>
      </w:pPr>
    </w:p>
    <w:p w14:paraId="69AB20E3" w14:textId="77777777" w:rsidR="00CA377A" w:rsidRPr="002F5032" w:rsidRDefault="00CA377A" w:rsidP="00CA377A">
      <w:pPr>
        <w:jc w:val="both"/>
        <w:rPr>
          <w:rFonts w:ascii="Tahoma" w:hAnsi="Tahoma" w:cs="Tahoma"/>
          <w:b/>
          <w:bCs/>
          <w:color w:val="99CCFF"/>
        </w:rPr>
      </w:pPr>
    </w:p>
    <w:p w14:paraId="65198139" w14:textId="2E78EC0C" w:rsidR="00CA377A" w:rsidRPr="002F5032" w:rsidRDefault="00CA377A" w:rsidP="00CA377A">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pPr>
      <w:r w:rsidRPr="002F5032">
        <w:t xml:space="preserve">Bankamız ICBC Turkey Bank A.Ş. ’nin </w:t>
      </w:r>
      <w:r w:rsidR="00D804DD">
        <w:t>3</w:t>
      </w:r>
      <w:r w:rsidR="00AD2895">
        <w:t>0</w:t>
      </w:r>
      <w:r w:rsidR="00D804DD">
        <w:t xml:space="preserve"> </w:t>
      </w:r>
      <w:r w:rsidR="00AD2895">
        <w:t>Haziran</w:t>
      </w:r>
      <w:r>
        <w:t xml:space="preserve"> 202</w:t>
      </w:r>
      <w:r w:rsidR="00652476">
        <w:t>3</w:t>
      </w:r>
      <w:r w:rsidRPr="002F5032">
        <w:t xml:space="preserve"> tarihinde sona eren ara döneme </w:t>
      </w:r>
      <w:r w:rsidR="007D5A6F">
        <w:t xml:space="preserve"> </w:t>
      </w:r>
      <w:r w:rsidRPr="002F5032">
        <w:t>ait konsolide olmayan finansal tabloları ve konsolide olmayan faaliyet raporu tarafımızca incelenmiştir.</w:t>
      </w:r>
    </w:p>
    <w:p w14:paraId="1E7F62F7" w14:textId="77777777" w:rsidR="00CA377A" w:rsidRPr="002F5032" w:rsidRDefault="00CA377A" w:rsidP="00CA377A">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pPr>
    </w:p>
    <w:p w14:paraId="18046FDB" w14:textId="77777777" w:rsidR="00CA377A" w:rsidRPr="002F5032" w:rsidRDefault="00CA377A" w:rsidP="00CA377A">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pPr>
      <w:r w:rsidRPr="002F5032">
        <w:t>İşletmedeki görev ve sorumluluk alanlarımızda sahip olduğumuz bilgiler çerçevesinde, konsolide olmayan ara dönem finansal tablolar ve konsolide olmayan faaliyet raporu önemli konularda gerçeğe aykırı bir açıklama veya açıklamanın yapıldığı tarih itibarıyla yanıltıcı olması sonucunu doğurabilecek herhangi bir eksiklik içermemektedir.</w:t>
      </w:r>
    </w:p>
    <w:p w14:paraId="7D43DB07" w14:textId="77777777" w:rsidR="00CA377A" w:rsidRPr="002F5032" w:rsidRDefault="00CA377A" w:rsidP="00CA377A">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pPr>
    </w:p>
    <w:p w14:paraId="2F369DC5" w14:textId="77777777" w:rsidR="00CA377A" w:rsidRPr="002F5032" w:rsidRDefault="00CA377A" w:rsidP="00CA377A">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pPr>
      <w:r w:rsidRPr="002F5032">
        <w:t>İşletmedeki görev ve sorumluluk alanlarımızda sahip olduğumuz bilgiler çerçevesinde, konsolide olmayan ara dönem finansal tablolar, Bankamız’ın aktifleri, pasifleri, finansal durumu ve kar ve zararı ile ilgili gerçeği dürüst bir biçimde yansıtmakta ve konsolide olmayan faaliyet raporu işin gelişimi ve performansını ve</w:t>
      </w:r>
      <w:r>
        <w:t xml:space="preserve"> Bankamız’ın finansal durumunu,</w:t>
      </w:r>
      <w:r w:rsidRPr="002F5032">
        <w:t xml:space="preserve"> dürüstçe yansıtmaktadır.</w:t>
      </w:r>
    </w:p>
    <w:p w14:paraId="5D4F5CB7" w14:textId="77777777" w:rsidR="00CA377A" w:rsidRPr="002F5032"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rPr>
          <w:rFonts w:eastAsia="Arial Unicode MS" w:cs="Tahoma"/>
          <w:szCs w:val="22"/>
        </w:rPr>
      </w:pPr>
    </w:p>
    <w:p w14:paraId="48A4C3A1" w14:textId="77777777" w:rsidR="00CA377A" w:rsidRPr="002F5032"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rPr>
          <w:rFonts w:eastAsia="Arial Unicode MS" w:cs="Tahoma"/>
          <w:szCs w:val="22"/>
        </w:rPr>
      </w:pPr>
      <w:r w:rsidRPr="002F5032">
        <w:rPr>
          <w:rFonts w:eastAsia="Arial Unicode MS" w:cs="Tahoma"/>
          <w:szCs w:val="22"/>
        </w:rPr>
        <w:t>Saygılarımızla,</w:t>
      </w:r>
    </w:p>
    <w:p w14:paraId="73F1C795"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center"/>
        <w:rPr>
          <w:rFonts w:eastAsia="Arial Unicode MS"/>
        </w:rPr>
      </w:pPr>
    </w:p>
    <w:tbl>
      <w:tblPr>
        <w:tblW w:w="2964" w:type="dxa"/>
        <w:tblInd w:w="3229" w:type="dxa"/>
        <w:tblCellMar>
          <w:left w:w="70" w:type="dxa"/>
          <w:right w:w="70" w:type="dxa"/>
        </w:tblCellMar>
        <w:tblLook w:val="0000" w:firstRow="0" w:lastRow="0" w:firstColumn="0" w:lastColumn="0" w:noHBand="0" w:noVBand="0"/>
      </w:tblPr>
      <w:tblGrid>
        <w:gridCol w:w="2964"/>
      </w:tblGrid>
      <w:tr w:rsidR="00CA377A" w:rsidRPr="00A5538C" w14:paraId="50EB37E1" w14:textId="77777777" w:rsidTr="004E08CA">
        <w:trPr>
          <w:trHeight w:val="281"/>
        </w:trPr>
        <w:tc>
          <w:tcPr>
            <w:tcW w:w="2964" w:type="dxa"/>
            <w:tcBorders>
              <w:top w:val="nil"/>
              <w:left w:val="nil"/>
              <w:bottom w:val="single" w:sz="8" w:space="0" w:color="auto"/>
              <w:right w:val="nil"/>
            </w:tcBorders>
            <w:noWrap/>
            <w:vAlign w:val="bottom"/>
          </w:tcPr>
          <w:p w14:paraId="1D82A601" w14:textId="77777777" w:rsidR="00CA377A" w:rsidRPr="00A5538C" w:rsidRDefault="00CA377A" w:rsidP="004E08CA">
            <w:pPr>
              <w:jc w:val="center"/>
              <w:rPr>
                <w:sz w:val="21"/>
                <w:szCs w:val="21"/>
              </w:rPr>
            </w:pPr>
          </w:p>
          <w:p w14:paraId="3827260B" w14:textId="77777777" w:rsidR="00CA377A" w:rsidRPr="00A5538C" w:rsidRDefault="00CA377A" w:rsidP="004E08CA">
            <w:pPr>
              <w:jc w:val="center"/>
              <w:rPr>
                <w:sz w:val="21"/>
                <w:szCs w:val="21"/>
              </w:rPr>
            </w:pPr>
          </w:p>
        </w:tc>
      </w:tr>
      <w:tr w:rsidR="00CA377A" w:rsidRPr="00ED0943" w14:paraId="211E75EF" w14:textId="77777777" w:rsidTr="004E08CA">
        <w:trPr>
          <w:trHeight w:val="266"/>
        </w:trPr>
        <w:tc>
          <w:tcPr>
            <w:tcW w:w="2964" w:type="dxa"/>
            <w:tcBorders>
              <w:top w:val="nil"/>
              <w:left w:val="nil"/>
              <w:bottom w:val="nil"/>
              <w:right w:val="nil"/>
            </w:tcBorders>
            <w:noWrap/>
            <w:vAlign w:val="bottom"/>
          </w:tcPr>
          <w:p w14:paraId="6ACBA24E" w14:textId="77777777" w:rsidR="00CA377A" w:rsidRPr="00ED0943"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1"/>
                <w:szCs w:val="21"/>
              </w:rPr>
            </w:pPr>
            <w:r>
              <w:rPr>
                <w:sz w:val="21"/>
                <w:szCs w:val="21"/>
              </w:rPr>
              <w:t>XIANGYANG GAO</w:t>
            </w:r>
          </w:p>
        </w:tc>
      </w:tr>
      <w:tr w:rsidR="00CA377A" w:rsidRPr="00ED0943" w14:paraId="7C69754A" w14:textId="77777777" w:rsidTr="004E08CA">
        <w:trPr>
          <w:trHeight w:val="266"/>
        </w:trPr>
        <w:tc>
          <w:tcPr>
            <w:tcW w:w="2964" w:type="dxa"/>
            <w:tcBorders>
              <w:top w:val="nil"/>
              <w:left w:val="nil"/>
              <w:bottom w:val="nil"/>
              <w:right w:val="nil"/>
            </w:tcBorders>
            <w:noWrap/>
          </w:tcPr>
          <w:p w14:paraId="289F255F" w14:textId="77777777" w:rsidR="00CA377A" w:rsidRPr="00ED0943"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1"/>
                <w:szCs w:val="21"/>
              </w:rPr>
            </w:pPr>
            <w:r>
              <w:rPr>
                <w:sz w:val="21"/>
                <w:szCs w:val="21"/>
              </w:rPr>
              <w:t>Yönetim Kurulu Başkanı</w:t>
            </w:r>
          </w:p>
        </w:tc>
      </w:tr>
    </w:tbl>
    <w:p w14:paraId="74C59888"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center"/>
        <w:rPr>
          <w:rFonts w:eastAsia="Arial Unicode MS"/>
        </w:rPr>
      </w:pPr>
    </w:p>
    <w:p w14:paraId="5B7994F6"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center"/>
        <w:rPr>
          <w:rFonts w:eastAsia="Arial Unicode MS"/>
        </w:rPr>
      </w:pPr>
    </w:p>
    <w:p w14:paraId="62548F6F"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center"/>
        <w:rPr>
          <w:rFonts w:eastAsia="Arial Unicode MS"/>
        </w:rPr>
      </w:pPr>
    </w:p>
    <w:tbl>
      <w:tblPr>
        <w:tblpPr w:leftFromText="141" w:rightFromText="141" w:vertAnchor="text" w:horzAnchor="margin" w:tblpXSpec="center" w:tblpY="-29"/>
        <w:tblW w:w="6844" w:type="dxa"/>
        <w:tblCellMar>
          <w:left w:w="70" w:type="dxa"/>
          <w:right w:w="70" w:type="dxa"/>
        </w:tblCellMar>
        <w:tblLook w:val="0000" w:firstRow="0" w:lastRow="0" w:firstColumn="0" w:lastColumn="0" w:noHBand="0" w:noVBand="0"/>
      </w:tblPr>
      <w:tblGrid>
        <w:gridCol w:w="2790"/>
        <w:gridCol w:w="1399"/>
        <w:gridCol w:w="2519"/>
        <w:gridCol w:w="136"/>
      </w:tblGrid>
      <w:tr w:rsidR="00CA377A" w:rsidRPr="00742397" w14:paraId="7EED81CE" w14:textId="77777777" w:rsidTr="004E08CA">
        <w:trPr>
          <w:gridAfter w:val="1"/>
          <w:wAfter w:w="136" w:type="dxa"/>
          <w:trHeight w:val="297"/>
        </w:trPr>
        <w:tc>
          <w:tcPr>
            <w:tcW w:w="2790" w:type="dxa"/>
            <w:tcBorders>
              <w:top w:val="nil"/>
              <w:left w:val="nil"/>
              <w:right w:val="nil"/>
            </w:tcBorders>
            <w:noWrap/>
            <w:vAlign w:val="bottom"/>
          </w:tcPr>
          <w:p w14:paraId="610F8F02" w14:textId="77777777" w:rsidR="00CA377A" w:rsidRPr="00742397" w:rsidRDefault="00CA377A" w:rsidP="004E08CA">
            <w:pPr>
              <w:jc w:val="center"/>
              <w:rPr>
                <w:sz w:val="20"/>
                <w:szCs w:val="20"/>
              </w:rPr>
            </w:pPr>
          </w:p>
          <w:p w14:paraId="2CEE18F8" w14:textId="77777777" w:rsidR="00CA377A" w:rsidRPr="00742397" w:rsidRDefault="00CA377A" w:rsidP="004E08CA">
            <w:pPr>
              <w:jc w:val="center"/>
              <w:rPr>
                <w:sz w:val="20"/>
                <w:szCs w:val="20"/>
              </w:rPr>
            </w:pPr>
          </w:p>
        </w:tc>
        <w:tc>
          <w:tcPr>
            <w:tcW w:w="1399" w:type="dxa"/>
            <w:tcBorders>
              <w:top w:val="nil"/>
              <w:left w:val="nil"/>
              <w:bottom w:val="nil"/>
              <w:right w:val="nil"/>
            </w:tcBorders>
            <w:noWrap/>
            <w:vAlign w:val="bottom"/>
          </w:tcPr>
          <w:p w14:paraId="4540A262" w14:textId="77777777" w:rsidR="00CA377A" w:rsidRPr="00742397" w:rsidRDefault="00CA377A" w:rsidP="004E08CA">
            <w:pPr>
              <w:jc w:val="center"/>
              <w:rPr>
                <w:sz w:val="20"/>
                <w:szCs w:val="20"/>
              </w:rPr>
            </w:pPr>
          </w:p>
        </w:tc>
        <w:tc>
          <w:tcPr>
            <w:tcW w:w="2519" w:type="dxa"/>
            <w:tcBorders>
              <w:top w:val="nil"/>
              <w:left w:val="nil"/>
              <w:right w:val="nil"/>
            </w:tcBorders>
            <w:noWrap/>
            <w:vAlign w:val="bottom"/>
          </w:tcPr>
          <w:p w14:paraId="5BA25D98" w14:textId="77777777" w:rsidR="00CA377A" w:rsidRPr="00742397" w:rsidRDefault="00CA377A" w:rsidP="004E08CA">
            <w:pPr>
              <w:jc w:val="center"/>
              <w:rPr>
                <w:sz w:val="20"/>
                <w:szCs w:val="20"/>
              </w:rPr>
            </w:pPr>
          </w:p>
        </w:tc>
      </w:tr>
      <w:tr w:rsidR="00CA377A" w:rsidRPr="00742397" w14:paraId="1AA7E7AE" w14:textId="77777777" w:rsidTr="004E08CA">
        <w:trPr>
          <w:gridAfter w:val="1"/>
          <w:wAfter w:w="136" w:type="dxa"/>
          <w:trHeight w:val="297"/>
        </w:trPr>
        <w:tc>
          <w:tcPr>
            <w:tcW w:w="2790" w:type="dxa"/>
            <w:tcBorders>
              <w:left w:val="nil"/>
              <w:bottom w:val="single" w:sz="8" w:space="0" w:color="auto"/>
              <w:right w:val="nil"/>
            </w:tcBorders>
            <w:noWrap/>
            <w:vAlign w:val="bottom"/>
          </w:tcPr>
          <w:p w14:paraId="7899CA1F" w14:textId="77777777" w:rsidR="00CA377A" w:rsidRPr="00742397" w:rsidRDefault="00CA377A" w:rsidP="004E08CA">
            <w:pPr>
              <w:jc w:val="center"/>
              <w:rPr>
                <w:sz w:val="20"/>
                <w:szCs w:val="20"/>
              </w:rPr>
            </w:pPr>
          </w:p>
        </w:tc>
        <w:tc>
          <w:tcPr>
            <w:tcW w:w="1399" w:type="dxa"/>
            <w:tcBorders>
              <w:top w:val="nil"/>
              <w:left w:val="nil"/>
              <w:bottom w:val="nil"/>
              <w:right w:val="nil"/>
            </w:tcBorders>
            <w:noWrap/>
            <w:vAlign w:val="bottom"/>
          </w:tcPr>
          <w:p w14:paraId="3EEC0511" w14:textId="77777777" w:rsidR="00CA377A" w:rsidRPr="00742397" w:rsidRDefault="00CA377A" w:rsidP="004E08CA">
            <w:pPr>
              <w:jc w:val="center"/>
              <w:rPr>
                <w:sz w:val="20"/>
                <w:szCs w:val="20"/>
              </w:rPr>
            </w:pPr>
          </w:p>
        </w:tc>
        <w:tc>
          <w:tcPr>
            <w:tcW w:w="2519" w:type="dxa"/>
            <w:tcBorders>
              <w:left w:val="nil"/>
              <w:bottom w:val="single" w:sz="8" w:space="0" w:color="auto"/>
              <w:right w:val="nil"/>
            </w:tcBorders>
            <w:noWrap/>
            <w:vAlign w:val="bottom"/>
          </w:tcPr>
          <w:p w14:paraId="7F8B361D" w14:textId="77777777" w:rsidR="00CA377A" w:rsidRPr="00742397" w:rsidRDefault="00CA377A" w:rsidP="004E08CA">
            <w:pPr>
              <w:jc w:val="center"/>
              <w:rPr>
                <w:sz w:val="20"/>
                <w:szCs w:val="20"/>
              </w:rPr>
            </w:pPr>
          </w:p>
        </w:tc>
      </w:tr>
      <w:tr w:rsidR="00CA377A" w:rsidRPr="00742397" w14:paraId="382A5150" w14:textId="77777777" w:rsidTr="004E08CA">
        <w:trPr>
          <w:trHeight w:val="280"/>
        </w:trPr>
        <w:tc>
          <w:tcPr>
            <w:tcW w:w="2790" w:type="dxa"/>
            <w:tcBorders>
              <w:top w:val="nil"/>
              <w:left w:val="nil"/>
              <w:bottom w:val="nil"/>
              <w:right w:val="nil"/>
            </w:tcBorders>
            <w:noWrap/>
            <w:vAlign w:val="bottom"/>
          </w:tcPr>
          <w:p w14:paraId="366FBC7A" w14:textId="77777777" w:rsidR="00CA377A" w:rsidRPr="00ED0943"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1"/>
                <w:szCs w:val="21"/>
              </w:rPr>
            </w:pPr>
            <w:r>
              <w:rPr>
                <w:sz w:val="21"/>
                <w:szCs w:val="21"/>
              </w:rPr>
              <w:t>PEIGUO LIU</w:t>
            </w:r>
          </w:p>
        </w:tc>
        <w:tc>
          <w:tcPr>
            <w:tcW w:w="1399" w:type="dxa"/>
            <w:tcBorders>
              <w:top w:val="nil"/>
              <w:left w:val="nil"/>
              <w:bottom w:val="nil"/>
              <w:right w:val="nil"/>
            </w:tcBorders>
            <w:noWrap/>
            <w:vAlign w:val="bottom"/>
          </w:tcPr>
          <w:p w14:paraId="779E6BFC" w14:textId="77777777" w:rsidR="00CA377A" w:rsidRPr="00742397"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tc>
        <w:tc>
          <w:tcPr>
            <w:tcW w:w="2655" w:type="dxa"/>
            <w:gridSpan w:val="2"/>
            <w:tcBorders>
              <w:top w:val="nil"/>
              <w:left w:val="nil"/>
              <w:bottom w:val="nil"/>
              <w:right w:val="nil"/>
            </w:tcBorders>
            <w:noWrap/>
            <w:vAlign w:val="bottom"/>
          </w:tcPr>
          <w:p w14:paraId="13A19052" w14:textId="24B44B9B" w:rsidR="00CA377A" w:rsidRPr="00742397" w:rsidRDefault="00AD2895" w:rsidP="004E08CA">
            <w:pPr>
              <w:tabs>
                <w:tab w:val="left" w:pos="51"/>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r>
              <w:rPr>
                <w:sz w:val="20"/>
                <w:szCs w:val="20"/>
              </w:rPr>
              <w:t>CHUNYI ZHENG</w:t>
            </w:r>
          </w:p>
        </w:tc>
      </w:tr>
      <w:tr w:rsidR="00CA377A" w:rsidRPr="00742397" w14:paraId="7B0D89E7" w14:textId="77777777" w:rsidTr="004E08CA">
        <w:trPr>
          <w:trHeight w:val="280"/>
        </w:trPr>
        <w:tc>
          <w:tcPr>
            <w:tcW w:w="2790" w:type="dxa"/>
            <w:tcBorders>
              <w:top w:val="nil"/>
              <w:left w:val="nil"/>
              <w:bottom w:val="nil"/>
              <w:right w:val="nil"/>
            </w:tcBorders>
            <w:noWrap/>
          </w:tcPr>
          <w:p w14:paraId="4A7E3464" w14:textId="77777777" w:rsidR="00CA377A" w:rsidRPr="00ED0943"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1"/>
                <w:szCs w:val="21"/>
              </w:rPr>
            </w:pPr>
            <w:r>
              <w:rPr>
                <w:sz w:val="21"/>
                <w:szCs w:val="21"/>
              </w:rPr>
              <w:t>Denetim Komitesi Başkanı ve Yönetim Kurulu Üyesi</w:t>
            </w:r>
          </w:p>
        </w:tc>
        <w:tc>
          <w:tcPr>
            <w:tcW w:w="1399" w:type="dxa"/>
            <w:tcBorders>
              <w:top w:val="nil"/>
              <w:left w:val="nil"/>
              <w:bottom w:val="nil"/>
              <w:right w:val="nil"/>
            </w:tcBorders>
            <w:noWrap/>
            <w:vAlign w:val="bottom"/>
          </w:tcPr>
          <w:p w14:paraId="66ACC15C" w14:textId="77777777" w:rsidR="00CA377A" w:rsidRPr="00742397"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tc>
        <w:tc>
          <w:tcPr>
            <w:tcW w:w="2655" w:type="dxa"/>
            <w:gridSpan w:val="2"/>
            <w:tcBorders>
              <w:top w:val="nil"/>
              <w:left w:val="nil"/>
              <w:bottom w:val="nil"/>
              <w:right w:val="nil"/>
            </w:tcBorders>
            <w:noWrap/>
          </w:tcPr>
          <w:p w14:paraId="0C82C8E2" w14:textId="5641DC8D" w:rsidR="00983631" w:rsidRDefault="00983631" w:rsidP="00983631">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r>
              <w:rPr>
                <w:sz w:val="20"/>
                <w:szCs w:val="20"/>
              </w:rPr>
              <w:t xml:space="preserve">Genel Müdür </w:t>
            </w:r>
            <w:r w:rsidR="00326FCC">
              <w:rPr>
                <w:sz w:val="20"/>
                <w:szCs w:val="20"/>
              </w:rPr>
              <w:t>Vekili</w:t>
            </w:r>
            <w:r>
              <w:rPr>
                <w:sz w:val="20"/>
                <w:szCs w:val="20"/>
              </w:rPr>
              <w:t xml:space="preserve"> </w:t>
            </w:r>
            <w:r w:rsidR="00CA377A">
              <w:rPr>
                <w:sz w:val="20"/>
                <w:szCs w:val="20"/>
              </w:rPr>
              <w:t xml:space="preserve"> </w:t>
            </w:r>
          </w:p>
          <w:p w14:paraId="10612D24" w14:textId="4D4589C2" w:rsidR="00CA377A" w:rsidRPr="0023585C" w:rsidRDefault="00CA377A" w:rsidP="00983631">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tc>
      </w:tr>
      <w:tr w:rsidR="00CA377A" w:rsidRPr="00742397" w14:paraId="2035FA72" w14:textId="77777777" w:rsidTr="004E08CA">
        <w:trPr>
          <w:trHeight w:val="280"/>
        </w:trPr>
        <w:tc>
          <w:tcPr>
            <w:tcW w:w="2790" w:type="dxa"/>
            <w:tcBorders>
              <w:top w:val="nil"/>
              <w:left w:val="nil"/>
              <w:bottom w:val="nil"/>
              <w:right w:val="nil"/>
            </w:tcBorders>
            <w:noWrap/>
            <w:vAlign w:val="bottom"/>
          </w:tcPr>
          <w:p w14:paraId="51705C3A" w14:textId="77777777" w:rsidR="00CA377A" w:rsidRPr="00742397"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tc>
        <w:tc>
          <w:tcPr>
            <w:tcW w:w="1399" w:type="dxa"/>
            <w:tcBorders>
              <w:top w:val="nil"/>
              <w:left w:val="nil"/>
              <w:bottom w:val="nil"/>
              <w:right w:val="nil"/>
            </w:tcBorders>
            <w:noWrap/>
            <w:vAlign w:val="bottom"/>
          </w:tcPr>
          <w:p w14:paraId="5E8EF9E8" w14:textId="77777777" w:rsidR="00CA377A" w:rsidRPr="00742397"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tc>
        <w:tc>
          <w:tcPr>
            <w:tcW w:w="2655" w:type="dxa"/>
            <w:gridSpan w:val="2"/>
            <w:tcBorders>
              <w:top w:val="nil"/>
              <w:left w:val="nil"/>
              <w:bottom w:val="nil"/>
              <w:right w:val="nil"/>
            </w:tcBorders>
            <w:noWrap/>
            <w:vAlign w:val="bottom"/>
          </w:tcPr>
          <w:p w14:paraId="2E161525" w14:textId="77777777" w:rsidR="00CA377A" w:rsidRPr="00742397" w:rsidRDefault="00CA377A" w:rsidP="004E08CA">
            <w:pPr>
              <w:tabs>
                <w:tab w:val="left" w:pos="51"/>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tc>
      </w:tr>
    </w:tbl>
    <w:p w14:paraId="51D59E43"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center"/>
        <w:rPr>
          <w:rFonts w:eastAsia="Arial Unicode MS"/>
        </w:rPr>
      </w:pPr>
    </w:p>
    <w:p w14:paraId="0B2548AF" w14:textId="77777777" w:rsidR="00CA377A" w:rsidRPr="00A55554"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center"/>
        <w:rPr>
          <w:rFonts w:eastAsia="Arial Unicode MS"/>
        </w:rPr>
      </w:pPr>
    </w:p>
    <w:p w14:paraId="30621AF8" w14:textId="77777777" w:rsidR="00CA377A" w:rsidRPr="00742397" w:rsidRDefault="00CA377A" w:rsidP="00CA377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p w14:paraId="3EB17B2E" w14:textId="77777777" w:rsidR="00CA377A" w:rsidRPr="00742397" w:rsidRDefault="00CA377A" w:rsidP="00CA377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p w14:paraId="39CF5A72" w14:textId="77777777" w:rsidR="00CA377A" w:rsidRPr="00742397" w:rsidRDefault="00CA377A" w:rsidP="00CA377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p w14:paraId="62CD8CDF" w14:textId="77777777" w:rsidR="00CA377A" w:rsidRPr="00742397" w:rsidRDefault="00CA377A" w:rsidP="00CA377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p>
    <w:p w14:paraId="02A22F77"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rPr>
          <w:rFonts w:eastAsia="Arial Unicode MS" w:cs="Tahoma"/>
          <w:szCs w:val="22"/>
        </w:rPr>
      </w:pPr>
    </w:p>
    <w:p w14:paraId="2303A3A7"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rPr>
          <w:rFonts w:eastAsia="Arial Unicode MS" w:cs="Tahoma"/>
          <w:szCs w:val="22"/>
        </w:rPr>
      </w:pPr>
    </w:p>
    <w:tbl>
      <w:tblPr>
        <w:tblW w:w="2964" w:type="dxa"/>
        <w:tblInd w:w="3229" w:type="dxa"/>
        <w:tblCellMar>
          <w:left w:w="70" w:type="dxa"/>
          <w:right w:w="70" w:type="dxa"/>
        </w:tblCellMar>
        <w:tblLook w:val="0000" w:firstRow="0" w:lastRow="0" w:firstColumn="0" w:lastColumn="0" w:noHBand="0" w:noVBand="0"/>
      </w:tblPr>
      <w:tblGrid>
        <w:gridCol w:w="2964"/>
      </w:tblGrid>
      <w:tr w:rsidR="00CA377A" w:rsidRPr="00A5538C" w14:paraId="0A1F5BEE" w14:textId="77777777" w:rsidTr="004E08CA">
        <w:trPr>
          <w:trHeight w:val="281"/>
        </w:trPr>
        <w:tc>
          <w:tcPr>
            <w:tcW w:w="2964" w:type="dxa"/>
            <w:tcBorders>
              <w:top w:val="nil"/>
              <w:left w:val="nil"/>
              <w:bottom w:val="single" w:sz="8" w:space="0" w:color="auto"/>
              <w:right w:val="nil"/>
            </w:tcBorders>
            <w:noWrap/>
            <w:vAlign w:val="bottom"/>
          </w:tcPr>
          <w:p w14:paraId="5DA9F2B8" w14:textId="77777777" w:rsidR="00CA377A" w:rsidRPr="00A5538C" w:rsidRDefault="00CA377A" w:rsidP="004E08CA">
            <w:pPr>
              <w:jc w:val="center"/>
              <w:rPr>
                <w:sz w:val="21"/>
                <w:szCs w:val="21"/>
              </w:rPr>
            </w:pPr>
          </w:p>
          <w:p w14:paraId="5BD15E66" w14:textId="77777777" w:rsidR="00CA377A" w:rsidRPr="00A5538C" w:rsidRDefault="00CA377A" w:rsidP="004E08CA">
            <w:pPr>
              <w:jc w:val="center"/>
              <w:rPr>
                <w:sz w:val="21"/>
                <w:szCs w:val="21"/>
              </w:rPr>
            </w:pPr>
          </w:p>
        </w:tc>
      </w:tr>
      <w:tr w:rsidR="00CA377A" w:rsidRPr="00ED0943" w14:paraId="26EDE9E8" w14:textId="77777777" w:rsidTr="004E08CA">
        <w:trPr>
          <w:trHeight w:val="266"/>
        </w:trPr>
        <w:tc>
          <w:tcPr>
            <w:tcW w:w="2964" w:type="dxa"/>
            <w:tcBorders>
              <w:top w:val="nil"/>
              <w:left w:val="nil"/>
              <w:bottom w:val="nil"/>
              <w:right w:val="nil"/>
            </w:tcBorders>
            <w:noWrap/>
            <w:vAlign w:val="bottom"/>
          </w:tcPr>
          <w:p w14:paraId="70166A03" w14:textId="77777777" w:rsidR="00CA377A" w:rsidRPr="00742397" w:rsidRDefault="00CA377A" w:rsidP="004E08CA">
            <w:pPr>
              <w:tabs>
                <w:tab w:val="left" w:pos="51"/>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r>
              <w:rPr>
                <w:sz w:val="20"/>
                <w:szCs w:val="20"/>
              </w:rPr>
              <w:t>HÜSEYİN HASAN İMECE</w:t>
            </w:r>
          </w:p>
        </w:tc>
      </w:tr>
      <w:tr w:rsidR="00CA377A" w:rsidRPr="00ED0943" w14:paraId="14EB8441" w14:textId="77777777" w:rsidTr="004E08CA">
        <w:trPr>
          <w:trHeight w:val="266"/>
        </w:trPr>
        <w:tc>
          <w:tcPr>
            <w:tcW w:w="2964" w:type="dxa"/>
            <w:tcBorders>
              <w:top w:val="nil"/>
              <w:left w:val="nil"/>
              <w:bottom w:val="nil"/>
              <w:right w:val="nil"/>
            </w:tcBorders>
            <w:noWrap/>
          </w:tcPr>
          <w:p w14:paraId="103323A7" w14:textId="77777777" w:rsidR="00CA377A" w:rsidRPr="0023585C"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0"/>
                <w:szCs w:val="20"/>
              </w:rPr>
            </w:pPr>
            <w:r w:rsidRPr="00EA6620">
              <w:rPr>
                <w:sz w:val="20"/>
                <w:szCs w:val="20"/>
              </w:rPr>
              <w:t>Finansal Kontrol ve</w:t>
            </w:r>
            <w:r>
              <w:rPr>
                <w:sz w:val="20"/>
                <w:szCs w:val="20"/>
              </w:rPr>
              <w:t xml:space="preserve"> Muhasebe, </w:t>
            </w:r>
            <w:r w:rsidRPr="00EA6620">
              <w:rPr>
                <w:sz w:val="20"/>
                <w:szCs w:val="20"/>
              </w:rPr>
              <w:t xml:space="preserve"> </w:t>
            </w:r>
            <w:r>
              <w:rPr>
                <w:sz w:val="20"/>
                <w:szCs w:val="20"/>
              </w:rPr>
              <w:t>Bilanço Yönetimi ve Ekonomik Araştırmalar Bölümü Genel Müdür Vekili</w:t>
            </w:r>
          </w:p>
        </w:tc>
      </w:tr>
      <w:tr w:rsidR="00CA377A" w:rsidRPr="00ED0943" w14:paraId="10F72E0C" w14:textId="77777777" w:rsidTr="004E08CA">
        <w:trPr>
          <w:trHeight w:val="266"/>
        </w:trPr>
        <w:tc>
          <w:tcPr>
            <w:tcW w:w="2964" w:type="dxa"/>
            <w:tcBorders>
              <w:top w:val="nil"/>
              <w:left w:val="nil"/>
              <w:bottom w:val="nil"/>
              <w:right w:val="nil"/>
            </w:tcBorders>
            <w:noWrap/>
          </w:tcPr>
          <w:p w14:paraId="2A3D6923" w14:textId="77777777" w:rsidR="00CA377A" w:rsidRDefault="00CA377A" w:rsidP="004E08CA">
            <w:pPr>
              <w:jc w:val="center"/>
            </w:pPr>
          </w:p>
        </w:tc>
      </w:tr>
      <w:tr w:rsidR="00CA377A" w:rsidRPr="00ED0943" w14:paraId="38681800" w14:textId="77777777" w:rsidTr="004E08CA">
        <w:trPr>
          <w:trHeight w:val="266"/>
        </w:trPr>
        <w:tc>
          <w:tcPr>
            <w:tcW w:w="2964" w:type="dxa"/>
            <w:tcBorders>
              <w:top w:val="nil"/>
              <w:left w:val="nil"/>
              <w:bottom w:val="nil"/>
              <w:right w:val="nil"/>
            </w:tcBorders>
            <w:noWrap/>
          </w:tcPr>
          <w:p w14:paraId="75AE3D06" w14:textId="77777777" w:rsidR="00CA377A" w:rsidRDefault="00CA377A" w:rsidP="004E08CA">
            <w:pPr>
              <w:jc w:val="center"/>
            </w:pPr>
          </w:p>
        </w:tc>
      </w:tr>
      <w:tr w:rsidR="00CA377A" w:rsidRPr="00ED0943" w14:paraId="60A94BFC" w14:textId="77777777" w:rsidTr="004E08CA">
        <w:trPr>
          <w:trHeight w:val="266"/>
        </w:trPr>
        <w:tc>
          <w:tcPr>
            <w:tcW w:w="2964" w:type="dxa"/>
            <w:tcBorders>
              <w:top w:val="nil"/>
              <w:left w:val="nil"/>
              <w:bottom w:val="nil"/>
              <w:right w:val="nil"/>
            </w:tcBorders>
            <w:noWrap/>
          </w:tcPr>
          <w:p w14:paraId="0C6D858E" w14:textId="77777777" w:rsidR="00CA377A" w:rsidRDefault="00CA377A" w:rsidP="004E08CA">
            <w:pPr>
              <w:tabs>
                <w:tab w:val="left" w:pos="50"/>
                <w:tab w:val="left" w:pos="4230"/>
                <w:tab w:val="left" w:pos="4533"/>
                <w:tab w:val="left" w:pos="5142"/>
                <w:tab w:val="left" w:pos="5448"/>
                <w:tab w:val="left" w:pos="5597"/>
                <w:tab w:val="left" w:pos="6602"/>
                <w:tab w:val="left" w:pos="6697"/>
                <w:tab w:val="left" w:pos="10053"/>
                <w:tab w:val="left" w:pos="10521"/>
                <w:tab w:val="left" w:pos="11440"/>
                <w:tab w:val="left" w:pos="11490"/>
                <w:tab w:val="left" w:pos="12027"/>
                <w:tab w:val="left" w:pos="12564"/>
                <w:tab w:val="left" w:pos="13101"/>
                <w:tab w:val="left" w:pos="13638"/>
                <w:tab w:val="left" w:pos="14175"/>
              </w:tabs>
              <w:jc w:val="center"/>
              <w:rPr>
                <w:sz w:val="21"/>
                <w:szCs w:val="21"/>
              </w:rPr>
            </w:pPr>
          </w:p>
        </w:tc>
      </w:tr>
    </w:tbl>
    <w:p w14:paraId="59D4F39D" w14:textId="77777777" w:rsidR="00CA377A" w:rsidRDefault="00CA377A" w:rsidP="00CA377A">
      <w:pPr>
        <w:tabs>
          <w:tab w:val="left" w:pos="50"/>
          <w:tab w:val="left" w:pos="4230"/>
          <w:tab w:val="left" w:pos="4533"/>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jc w:val="both"/>
        <w:rPr>
          <w:rFonts w:eastAsia="Arial Unicode MS" w:cs="Tahoma"/>
          <w:szCs w:val="22"/>
        </w:rPr>
      </w:pPr>
    </w:p>
    <w:p w14:paraId="1FB6CCFE" w14:textId="2960E6CE" w:rsidR="00411C9A" w:rsidRDefault="00CA377A" w:rsidP="00D20F9F">
      <w:pPr>
        <w:pStyle w:val="Style1"/>
        <w:pBdr>
          <w:bottom w:val="none" w:sz="0" w:space="0" w:color="auto"/>
        </w:pBdr>
        <w:rPr>
          <w:color w:val="1F497D"/>
        </w:rPr>
      </w:pPr>
      <w:bookmarkStart w:id="0" w:name="OLE_LINK21"/>
      <w:r w:rsidRPr="00534A92">
        <w:rPr>
          <w:color w:val="1F497D"/>
        </w:rPr>
        <w:lastRenderedPageBreak/>
        <w:t xml:space="preserve">Yönetim Kurulu Başkanı’nın Mesajı </w:t>
      </w:r>
    </w:p>
    <w:p w14:paraId="05833A77" w14:textId="77777777" w:rsidR="00AD2895" w:rsidRPr="00534A92" w:rsidRDefault="00AD2895" w:rsidP="00D20F9F">
      <w:pPr>
        <w:pStyle w:val="Style1"/>
        <w:pBdr>
          <w:bottom w:val="none" w:sz="0" w:space="0" w:color="auto"/>
        </w:pBdr>
        <w:rPr>
          <w:color w:val="1F497D"/>
        </w:rPr>
      </w:pPr>
    </w:p>
    <w:p w14:paraId="5CA81147" w14:textId="32C1C91D" w:rsidR="004D5030" w:rsidRDefault="00652476" w:rsidP="00D20F9F">
      <w:pPr>
        <w:jc w:val="both"/>
      </w:pPr>
      <w:r w:rsidRPr="00652476">
        <w:t>Küresen dezenflasyonun sürecinin beklenenden daha yavaş ilerlemesi ve özellikle çekirdek enflasyondaki düşüşün sınırlı kalması gelişmiş ülke merkez bankalarının faiz artırım süreçlerine yılın ikinci çeyreğinde de devam etmesine neden olmuştur. Mayıs ayı toplantısında faizleri 25 baz puan artıran Amerikan Merkez Bankası Haziran ayı toplantısında faizleri sabit tutmuştur. Avrupa Merkez Bankası Mayıs ve Haziran ayı toplantılarında faizleri 25’er baz puan artırırken enflasyonun %2 hedefinin çok uzak bir seviyede olmasını dikkate alarak faiz artırım sürecinin önümüzdeki toplantılarda da devam edebileceği noktasında güçlü bir mesaj vermiştir. Artan küresel faizler başta faize duyarlı sektörler olmak üzere ekonomik aktivite üzerindeki aşağı yönlü riskleri arttırmış ve bu durum emtia fiyatlarının yılın ikinci çeyreğinde baskı altında kalmasına neden olmuştur. Gelişmiş ülke ekonomilerinde büyümenin öncü göstergelerinden olan imalat sanayi PMI’ları 50 seviyesinin altında kalırken hizmet sektörü göreceli olarak güçlü kalmaya devam etmiştir. Türkiye ekonomisinde ise baz etkisiyle enflasyon yılın ikinci çeyreğinde de düşmeye devam ederken güçlü tüketim talebiyle cari dengedeki bozulma yılın ikinci çeyreğinde devam etmiştir. Bu dönemde sermaye akımlarının da göreceli olarak düşük kalması Türk Lirası üzerindeki aşağı yönlü baskının artmasına neden olmuş ve yılın ikinci çeyreğinde Türk Lirası’nda 26% civarında bir değer kaybı oluşmuştur. Seçimlerinin tamamlanması ile birlikte oluşan yeni ekonomi ekibi ortodoks politikalara dönüş anlamında ilk adımını atmış ve enflasyondaki yüksek seyir dikkate alınarak parasal sıkılaşma süreci başlatılmıştır. Söz konusu politika adımlarının yılın ikinci yarısında dış denge üzerinde olumlu bir etki oluşturması beklenmekle birlikte Türk Lirası’nda yaşanan değer kaybının enflasyon üzerindeki etkisi piyasaların önemli bir gündem maddesi olması beklenmektedir.</w:t>
      </w:r>
    </w:p>
    <w:p w14:paraId="28755C8B" w14:textId="77777777" w:rsidR="00AD2895" w:rsidRDefault="00AD2895" w:rsidP="00D20F9F">
      <w:pPr>
        <w:jc w:val="both"/>
      </w:pPr>
    </w:p>
    <w:p w14:paraId="27741F57" w14:textId="699D8FF1" w:rsidR="00245D7D" w:rsidRPr="008C780F" w:rsidRDefault="003846B9" w:rsidP="00D20F9F">
      <w:pPr>
        <w:jc w:val="both"/>
      </w:pPr>
      <w:r>
        <w:t>Saygılarımla,</w:t>
      </w:r>
    </w:p>
    <w:p w14:paraId="2CE31EE1" w14:textId="77777777" w:rsidR="00245D7D" w:rsidRPr="008C780F" w:rsidRDefault="00245D7D" w:rsidP="00D20F9F">
      <w:pPr>
        <w:jc w:val="both"/>
      </w:pPr>
    </w:p>
    <w:p w14:paraId="20246226" w14:textId="77B85BFB" w:rsidR="00245D7D" w:rsidRDefault="00245D7D" w:rsidP="00D20F9F">
      <w:pPr>
        <w:jc w:val="both"/>
      </w:pPr>
      <w:r w:rsidRPr="008C780F">
        <w:t>XIANGYANG GAO</w:t>
      </w:r>
    </w:p>
    <w:p w14:paraId="76ADB4A0" w14:textId="77777777" w:rsidR="007F35E3" w:rsidRPr="008C780F" w:rsidRDefault="007F35E3" w:rsidP="00D20F9F">
      <w:pPr>
        <w:jc w:val="both"/>
      </w:pPr>
    </w:p>
    <w:p w14:paraId="2ED61F6D" w14:textId="77777777" w:rsidR="00245D7D" w:rsidRPr="0005126D" w:rsidRDefault="00245D7D" w:rsidP="00D20F9F">
      <w:pPr>
        <w:jc w:val="both"/>
      </w:pPr>
      <w:r w:rsidRPr="008C780F">
        <w:t>Yönetim Kurulu Başkanı</w:t>
      </w:r>
    </w:p>
    <w:p w14:paraId="1DE2B4D1" w14:textId="77777777" w:rsidR="00B9535A" w:rsidRDefault="00B9535A">
      <w:pPr>
        <w:spacing w:after="200" w:line="276" w:lineRule="auto"/>
        <w:rPr>
          <w:rFonts w:cs="Tahoma"/>
          <w:b/>
          <w:bCs/>
          <w:color w:val="1F497D"/>
          <w:sz w:val="36"/>
          <w:szCs w:val="36"/>
        </w:rPr>
      </w:pPr>
      <w:bookmarkStart w:id="1" w:name="OLE_LINK23"/>
      <w:bookmarkEnd w:id="0"/>
      <w:r>
        <w:rPr>
          <w:rFonts w:cs="Tahoma"/>
          <w:b/>
          <w:bCs/>
          <w:color w:val="1F497D"/>
          <w:sz w:val="36"/>
          <w:szCs w:val="36"/>
        </w:rPr>
        <w:br w:type="page"/>
      </w:r>
    </w:p>
    <w:p w14:paraId="23EF127C" w14:textId="2E4EBE2E" w:rsidR="00C801B7" w:rsidRPr="00D160AA" w:rsidRDefault="00157600" w:rsidP="00411C9A">
      <w:pPr>
        <w:autoSpaceDE w:val="0"/>
        <w:autoSpaceDN w:val="0"/>
        <w:adjustRightInd w:val="0"/>
        <w:rPr>
          <w:rFonts w:cs="Tahoma"/>
          <w:b/>
          <w:bCs/>
          <w:color w:val="1F497D"/>
          <w:sz w:val="36"/>
          <w:szCs w:val="36"/>
        </w:rPr>
      </w:pPr>
      <w:r>
        <w:rPr>
          <w:rFonts w:cs="Tahoma"/>
          <w:b/>
          <w:bCs/>
          <w:color w:val="1F497D"/>
          <w:sz w:val="36"/>
          <w:szCs w:val="36"/>
        </w:rPr>
        <w:lastRenderedPageBreak/>
        <w:t>Genel Müdür Vekili’nin</w:t>
      </w:r>
      <w:r w:rsidR="00CA377A" w:rsidRPr="00913275">
        <w:rPr>
          <w:rFonts w:cs="Tahoma"/>
          <w:b/>
          <w:bCs/>
          <w:color w:val="1F497D"/>
          <w:sz w:val="36"/>
          <w:szCs w:val="36"/>
        </w:rPr>
        <w:t xml:space="preserve"> Mesaj</w:t>
      </w:r>
      <w:bookmarkStart w:id="2" w:name="OLE_LINK8"/>
      <w:bookmarkStart w:id="3" w:name="OLE_LINK257"/>
      <w:r w:rsidR="00CA377A" w:rsidRPr="00913275">
        <w:rPr>
          <w:rFonts w:cs="Tahoma"/>
          <w:b/>
          <w:bCs/>
          <w:color w:val="1F497D"/>
          <w:sz w:val="36"/>
          <w:szCs w:val="36"/>
        </w:rPr>
        <w:t>ı</w:t>
      </w:r>
      <w:bookmarkEnd w:id="2"/>
      <w:bookmarkEnd w:id="3"/>
      <w:r w:rsidR="00CA377A" w:rsidRPr="00913275">
        <w:rPr>
          <w:color w:val="222222"/>
        </w:rPr>
        <w:t xml:space="preserve"> </w:t>
      </w:r>
    </w:p>
    <w:p w14:paraId="68ADF72D" w14:textId="7B5DF6F4" w:rsidR="00411C9A" w:rsidRDefault="00411C9A" w:rsidP="00411C9A">
      <w:pPr>
        <w:autoSpaceDE w:val="0"/>
        <w:autoSpaceDN w:val="0"/>
        <w:adjustRightInd w:val="0"/>
        <w:rPr>
          <w:color w:val="222222"/>
        </w:rPr>
      </w:pPr>
    </w:p>
    <w:p w14:paraId="6D97C1AE" w14:textId="77777777" w:rsidR="00652476" w:rsidRPr="00652476" w:rsidRDefault="00652476" w:rsidP="00652476">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rPr>
          <w:color w:val="222222"/>
        </w:rPr>
      </w:pPr>
      <w:r w:rsidRPr="00652476">
        <w:rPr>
          <w:color w:val="222222"/>
        </w:rPr>
        <w:t xml:space="preserve">2022 yılının ilk çeyreğinden itibaren başlayan parasal sıkılaşma süreci başta ABD olmak üzere gelişmiş ülkelerde dezenflasyon sürecini desteklemiş olmakla birlikte temel enflasyon göstergelerindeki iyileşme beklenenden daha yavaş gerçekleşmiştir. Bu durum karşısında gelişmiş ülke merkez bankaları faiz artırım süreçlerine yılın ikinci yarısında da devam etmiş ve para politikası finansal piyasalardaki fiyatlamaların en önemli belirleyicisi olmuştur. Amerikan Merkez Bankası FED Mayıs ayı toplantısında faizleri 25 baz puan artırırken Haziran ayı toplantısında uygulanana politika adımlarının gecikmeleri etkilerini de görmek adına faiz oranlarını sabit tutmuştur. Buna karşılık politika yapıcıları faizlerin gelecek toplantılarda artmaya devam edebileceği noktasında güçlü bir sözlü yönlendirme yapmışlardır. Parasal sıkılaşma sürecine göreceli olarak biraz daha geç başlayan Avrupa Merkez Bankası da yılın ikinci çeyreğinde faiz artırımlarına deva etmiş ve Mayıs ve Haziran ayı toplantılarında politika faizini toplamda 50 baz puan artırmıştır. FED’e paralel bir şekilde AMB yöneticileri de enflasyondaki yüksek seyri dikkate alarak faiz artırımlarının önümüzdeki toplantılarda da devam edeceği konusunda güçlü bir mesaj vermiştir. Mayıs ayı toplantısında politika faizini 25 baz puan artıran İngiltere Merkez Bankası Haziran ayı toplantısında faizleri beklentilerin üzerinde 50 baz puan artırarak enflasyonla mücadelede kararlı bir duruş sergilemiştir. Gelişmiş ülke merkez bankalarının para politikasındaki sıkı duruşu devam ettirmesi küresel ekonomi için resesyon endişelerini arttırmış ve bu durum başta petrol fiyatları olmak üzere emtia fiyatlarının baskı altında kalmasına neden olmuştur. Ekonomik aktivite anlamında hizmet sektörü göreceli olarak güçlü bir duruş sergilemekle birlikte imalat sanayi hem ABD hem de Avrupa Birliği bölgesinde küresel talepteki yavaşlamanın etkisiyle yılın ikinci çeyreğinde daha zayıf bir görünüm sergilemiştir. </w:t>
      </w:r>
    </w:p>
    <w:p w14:paraId="04CF0E04" w14:textId="595CA8E9" w:rsidR="00AD2895" w:rsidRDefault="00652476" w:rsidP="00652476">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rPr>
          <w:color w:val="222222"/>
        </w:rPr>
      </w:pPr>
      <w:r w:rsidRPr="00652476">
        <w:rPr>
          <w:color w:val="222222"/>
        </w:rPr>
        <w:t>Baz etkisi ve küresel enerji ve emtia fiyatlarındaki aşağı yönlü seyrin etkisiyle Türkiye ekonomisinde enflasyon yılın ikinci çeyreğinde önemli bir iyileşme göstermiştir. İlk çeyreğin sonu itibariyle %50.51 düzeyinde olan yıllık enflasyon ikinci çeyrek sonu itibariyle %38.21 düzeyine gerilemiştir. Güçlü iç talep nedeniyle artan ithalat talebi cari dengedeki bozulmanın yılın ikinci çeyreğinde de bozulmasına neden olmuş ve Nisan ayı itibariyle yıllıklandırılmış cari açık 57,8 milyar dolar seviyesine yükselmiştir. Seçim döneminin tamamlanması ve yeni ekonomi ekibinin oluşmasının ardından enflasyon beklentilerindeki bozulmayı dikkate alarak parasal sıkılaşma dönemi başlatılmış ve TCMB yapılan ilk PPK toplantısında faizleri 650 baz puan arttırmıştır. Kurul parasal sıkılaşma sürecinin devam edeceğini ve uygulanan makro ihtiyati politika setinin de kademeli olarak basitleştirileceği konusunda güçlü bir mesaj vermiştir. Kamu müdahalesinin azalması ile birlikte yılın ikinci çeyreğinin son ayında Türk Lirası üzerindeki aşağı yönlü baskılar artmış ve ikinci çeyreğinin tamamı dikkate alındığında Türk Lirası 26% civarında bir değer kaybı yaşamıştır. Türk Lirası’nda yaşanan bu değer kaybının yılın ikinci yarısında net ihracat yoluyla büyüme üzerinde pozitif bir etki yaratması ve dış dengesizliklerin azaltılmasına katkıda bulunması beklenmektedir.</w:t>
      </w:r>
    </w:p>
    <w:p w14:paraId="52C8CDFB" w14:textId="77777777" w:rsidR="00652476" w:rsidRDefault="00652476" w:rsidP="00652476">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rPr>
          <w:color w:val="222222"/>
        </w:rPr>
      </w:pPr>
    </w:p>
    <w:p w14:paraId="2E9BFDAF" w14:textId="43D6E76C" w:rsidR="00454F6E" w:rsidRPr="00E36DAB" w:rsidRDefault="003846B9" w:rsidP="00AD2895">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pPr>
      <w:r>
        <w:t>Saygılarımla,</w:t>
      </w:r>
    </w:p>
    <w:p w14:paraId="474FA39D" w14:textId="3917221E" w:rsidR="00454F6E" w:rsidRPr="00E36DAB" w:rsidRDefault="00454F6E" w:rsidP="00AD2895">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pPr>
    </w:p>
    <w:p w14:paraId="45F0221D" w14:textId="56B5CD9F" w:rsidR="00CA377A" w:rsidRDefault="00AD2895" w:rsidP="00AD2895">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pPr>
      <w:r>
        <w:t>CHUNYI ZHENG</w:t>
      </w:r>
    </w:p>
    <w:p w14:paraId="2315C34F" w14:textId="77777777" w:rsidR="00753B44" w:rsidRPr="00E36DAB" w:rsidRDefault="00753B44" w:rsidP="00AD2895">
      <w:pPr>
        <w:tabs>
          <w:tab w:val="left" w:pos="50"/>
          <w:tab w:val="left" w:pos="4839"/>
          <w:tab w:val="left" w:pos="5142"/>
          <w:tab w:val="left" w:pos="5448"/>
          <w:tab w:val="left" w:pos="5597"/>
          <w:tab w:val="left" w:pos="5943"/>
          <w:tab w:val="left" w:pos="6289"/>
          <w:tab w:val="left" w:pos="6602"/>
          <w:tab w:val="left" w:pos="6697"/>
          <w:tab w:val="left" w:pos="8837"/>
          <w:tab w:val="left" w:pos="9114"/>
          <w:tab w:val="left" w:pos="9582"/>
          <w:tab w:val="left" w:pos="10053"/>
          <w:tab w:val="left" w:pos="10521"/>
          <w:tab w:val="left" w:pos="10992"/>
          <w:tab w:val="left" w:pos="11215"/>
          <w:tab w:val="left" w:pos="11440"/>
          <w:tab w:val="left" w:pos="11490"/>
          <w:tab w:val="left" w:pos="12027"/>
          <w:tab w:val="left" w:pos="12564"/>
          <w:tab w:val="left" w:pos="13101"/>
          <w:tab w:val="left" w:pos="13638"/>
          <w:tab w:val="left" w:pos="14175"/>
        </w:tabs>
        <w:spacing w:line="216" w:lineRule="auto"/>
        <w:jc w:val="both"/>
      </w:pPr>
    </w:p>
    <w:p w14:paraId="28598422" w14:textId="04F6797C" w:rsidR="00CA377A" w:rsidRPr="001E7A5E" w:rsidRDefault="00CA377A" w:rsidP="00AD2895">
      <w:pPr>
        <w:spacing w:line="216" w:lineRule="auto"/>
        <w:jc w:val="both"/>
        <w:rPr>
          <w:rFonts w:cstheme="minorHAnsi"/>
          <w:szCs w:val="22"/>
        </w:rPr>
      </w:pPr>
      <w:r w:rsidRPr="00E36DAB">
        <w:rPr>
          <w:rFonts w:cstheme="minorHAnsi"/>
          <w:szCs w:val="22"/>
        </w:rPr>
        <w:t>Genel Müdür</w:t>
      </w:r>
      <w:r w:rsidR="00DC09B5">
        <w:rPr>
          <w:rFonts w:cstheme="minorHAnsi"/>
          <w:szCs w:val="22"/>
        </w:rPr>
        <w:t xml:space="preserve"> Vekili</w:t>
      </w:r>
    </w:p>
    <w:p w14:paraId="0D2EDEC7" w14:textId="77777777" w:rsidR="00CA377A" w:rsidRPr="005316A8" w:rsidRDefault="00CA377A" w:rsidP="00CA377A">
      <w:pPr>
        <w:autoSpaceDE w:val="0"/>
        <w:autoSpaceDN w:val="0"/>
        <w:adjustRightInd w:val="0"/>
        <w:rPr>
          <w:color w:val="222222"/>
        </w:rPr>
      </w:pPr>
    </w:p>
    <w:p w14:paraId="270E5233" w14:textId="5DBDD176" w:rsidR="00B9535A" w:rsidRDefault="00B9535A">
      <w:pPr>
        <w:spacing w:after="200" w:line="276" w:lineRule="auto"/>
        <w:rPr>
          <w:szCs w:val="22"/>
          <w:lang w:eastAsia="tr-TR"/>
        </w:rPr>
      </w:pPr>
      <w:r>
        <w:rPr>
          <w:szCs w:val="22"/>
          <w:lang w:eastAsia="tr-TR"/>
        </w:rPr>
        <w:br w:type="page"/>
      </w:r>
    </w:p>
    <w:p w14:paraId="38C0C210" w14:textId="7A29E4E4" w:rsidR="00CA377A" w:rsidRPr="002F5032" w:rsidRDefault="00CA377A" w:rsidP="00CA377A">
      <w:pPr>
        <w:pStyle w:val="Heading1"/>
      </w:pPr>
      <w:r w:rsidRPr="002F5032">
        <w:lastRenderedPageBreak/>
        <w:t xml:space="preserve">Sermaye ve Ortaklık Yapısı  </w:t>
      </w:r>
    </w:p>
    <w:p w14:paraId="55E1B528" w14:textId="58606B8A" w:rsidR="00CA377A" w:rsidRPr="002F5032" w:rsidRDefault="00CA377A" w:rsidP="00CA377A">
      <w:pPr>
        <w:pStyle w:val="anayaz"/>
      </w:pPr>
      <w:r w:rsidRPr="002F5032">
        <w:t xml:space="preserve">Bankamızın </w:t>
      </w:r>
      <w:r w:rsidR="00327B25">
        <w:t>3</w:t>
      </w:r>
      <w:r w:rsidR="000F7D37">
        <w:t>0</w:t>
      </w:r>
      <w:r w:rsidR="009073A5">
        <w:t xml:space="preserve"> </w:t>
      </w:r>
      <w:r w:rsidR="000F7D37">
        <w:t>Haziran</w:t>
      </w:r>
      <w:r w:rsidR="00B9355E">
        <w:t xml:space="preserve"> </w:t>
      </w:r>
      <w:r w:rsidR="00327B25">
        <w:t>202</w:t>
      </w:r>
      <w:r w:rsidR="00652476">
        <w:t>3</w:t>
      </w:r>
      <w:r w:rsidRPr="002F5032">
        <w:t xml:space="preserve"> tarihli ortaklık yapısına aşağıda yer verilmektedir.</w:t>
      </w:r>
    </w:p>
    <w:tbl>
      <w:tblPr>
        <w:tblW w:w="9002" w:type="dxa"/>
        <w:tblInd w:w="70" w:type="dxa"/>
        <w:tblCellMar>
          <w:left w:w="70" w:type="dxa"/>
          <w:right w:w="70" w:type="dxa"/>
        </w:tblCellMar>
        <w:tblLook w:val="04A0" w:firstRow="1" w:lastRow="0" w:firstColumn="1" w:lastColumn="0" w:noHBand="0" w:noVBand="1"/>
      </w:tblPr>
      <w:tblGrid>
        <w:gridCol w:w="3736"/>
        <w:gridCol w:w="3316"/>
        <w:gridCol w:w="1950"/>
      </w:tblGrid>
      <w:tr w:rsidR="00CA377A" w:rsidRPr="002F5032" w14:paraId="31FC96E6" w14:textId="77777777" w:rsidTr="006121B2">
        <w:trPr>
          <w:trHeight w:val="285"/>
        </w:trPr>
        <w:tc>
          <w:tcPr>
            <w:tcW w:w="3736" w:type="dxa"/>
            <w:tcBorders>
              <w:top w:val="single" w:sz="4" w:space="0" w:color="auto"/>
              <w:left w:val="nil"/>
              <w:bottom w:val="single" w:sz="4" w:space="0" w:color="auto"/>
              <w:right w:val="nil"/>
            </w:tcBorders>
            <w:shd w:val="clear" w:color="000000" w:fill="FFCC99"/>
            <w:noWrap/>
            <w:vAlign w:val="center"/>
            <w:hideMark/>
          </w:tcPr>
          <w:p w14:paraId="4EEF9519" w14:textId="25A53BAC" w:rsidR="00CA377A" w:rsidRPr="002F5032" w:rsidRDefault="00CA377A" w:rsidP="00274560">
            <w:pPr>
              <w:rPr>
                <w:rFonts w:cs="Arial"/>
                <w:b/>
                <w:bCs/>
                <w:szCs w:val="22"/>
                <w:lang w:eastAsia="tr-TR"/>
              </w:rPr>
            </w:pPr>
            <w:r w:rsidRPr="002F5032">
              <w:rPr>
                <w:rFonts w:cs="Arial"/>
                <w:b/>
                <w:bCs/>
                <w:szCs w:val="22"/>
                <w:lang w:eastAsia="tr-TR"/>
              </w:rPr>
              <w:t xml:space="preserve">Ortaklık Unvanı  - </w:t>
            </w:r>
            <w:r w:rsidR="00274560">
              <w:rPr>
                <w:rFonts w:cs="Arial"/>
                <w:b/>
                <w:bCs/>
                <w:szCs w:val="22"/>
                <w:lang w:eastAsia="tr-TR"/>
              </w:rPr>
              <w:t>Mart</w:t>
            </w:r>
            <w:r w:rsidR="00273617">
              <w:rPr>
                <w:rFonts w:cs="Arial"/>
                <w:b/>
                <w:bCs/>
                <w:szCs w:val="22"/>
                <w:lang w:eastAsia="tr-TR"/>
              </w:rPr>
              <w:t xml:space="preserve"> 202</w:t>
            </w:r>
            <w:r w:rsidR="00274560">
              <w:rPr>
                <w:rFonts w:cs="Arial"/>
                <w:b/>
                <w:bCs/>
                <w:szCs w:val="22"/>
                <w:lang w:eastAsia="tr-TR"/>
              </w:rPr>
              <w:t>2</w:t>
            </w:r>
          </w:p>
        </w:tc>
        <w:tc>
          <w:tcPr>
            <w:tcW w:w="3316" w:type="dxa"/>
            <w:tcBorders>
              <w:top w:val="single" w:sz="4" w:space="0" w:color="auto"/>
              <w:left w:val="nil"/>
              <w:bottom w:val="single" w:sz="4" w:space="0" w:color="auto"/>
              <w:right w:val="nil"/>
            </w:tcBorders>
            <w:shd w:val="clear" w:color="000000" w:fill="FFCC99"/>
            <w:noWrap/>
            <w:vAlign w:val="center"/>
            <w:hideMark/>
          </w:tcPr>
          <w:p w14:paraId="5837CA8E" w14:textId="77777777" w:rsidR="00CA377A" w:rsidRPr="002F5032" w:rsidRDefault="00CA377A" w:rsidP="004E08CA">
            <w:pPr>
              <w:jc w:val="right"/>
              <w:rPr>
                <w:rFonts w:cs="Arial"/>
                <w:b/>
                <w:bCs/>
                <w:szCs w:val="22"/>
                <w:lang w:eastAsia="tr-TR"/>
              </w:rPr>
            </w:pPr>
            <w:r w:rsidRPr="002F5032">
              <w:rPr>
                <w:rFonts w:cs="Arial"/>
                <w:b/>
                <w:bCs/>
                <w:szCs w:val="22"/>
                <w:lang w:eastAsia="tr-TR"/>
              </w:rPr>
              <w:t>Ortaklık Tutarı (TL)</w:t>
            </w:r>
          </w:p>
        </w:tc>
        <w:tc>
          <w:tcPr>
            <w:tcW w:w="1950" w:type="dxa"/>
            <w:tcBorders>
              <w:top w:val="single" w:sz="4" w:space="0" w:color="auto"/>
              <w:left w:val="nil"/>
              <w:bottom w:val="single" w:sz="4" w:space="0" w:color="auto"/>
              <w:right w:val="nil"/>
            </w:tcBorders>
            <w:shd w:val="clear" w:color="000000" w:fill="FFCC99"/>
            <w:noWrap/>
            <w:vAlign w:val="center"/>
            <w:hideMark/>
          </w:tcPr>
          <w:p w14:paraId="6F6287B1" w14:textId="77777777" w:rsidR="00CA377A" w:rsidRPr="002F5032" w:rsidRDefault="00CA377A" w:rsidP="004E08CA">
            <w:pPr>
              <w:jc w:val="right"/>
              <w:rPr>
                <w:rFonts w:cs="Arial"/>
                <w:b/>
                <w:bCs/>
                <w:szCs w:val="22"/>
                <w:lang w:eastAsia="tr-TR"/>
              </w:rPr>
            </w:pPr>
            <w:r w:rsidRPr="002F5032">
              <w:rPr>
                <w:rFonts w:cs="Arial"/>
                <w:b/>
                <w:bCs/>
                <w:szCs w:val="22"/>
                <w:lang w:eastAsia="tr-TR"/>
              </w:rPr>
              <w:t>Payı (%)</w:t>
            </w:r>
          </w:p>
        </w:tc>
      </w:tr>
      <w:tr w:rsidR="00CA377A" w:rsidRPr="002F5032" w14:paraId="291B0E11" w14:textId="77777777" w:rsidTr="006121B2">
        <w:trPr>
          <w:trHeight w:val="255"/>
        </w:trPr>
        <w:tc>
          <w:tcPr>
            <w:tcW w:w="3736" w:type="dxa"/>
            <w:tcBorders>
              <w:top w:val="nil"/>
              <w:left w:val="nil"/>
              <w:bottom w:val="nil"/>
              <w:right w:val="nil"/>
            </w:tcBorders>
            <w:vAlign w:val="center"/>
            <w:hideMark/>
          </w:tcPr>
          <w:p w14:paraId="4235CA4C" w14:textId="77777777" w:rsidR="00CA377A" w:rsidRPr="002F5032" w:rsidRDefault="00CA377A" w:rsidP="004E08CA">
            <w:pPr>
              <w:rPr>
                <w:rFonts w:cs="Arial"/>
                <w:sz w:val="20"/>
                <w:szCs w:val="20"/>
                <w:lang w:eastAsia="tr-TR"/>
              </w:rPr>
            </w:pPr>
            <w:r w:rsidRPr="002F5032">
              <w:rPr>
                <w:rFonts w:cs="Arial"/>
                <w:sz w:val="20"/>
                <w:szCs w:val="20"/>
                <w:lang w:eastAsia="tr-TR"/>
              </w:rPr>
              <w:t xml:space="preserve">Industrial and Commercial </w:t>
            </w:r>
          </w:p>
          <w:p w14:paraId="249EB029" w14:textId="77777777" w:rsidR="00CA377A" w:rsidRPr="002F5032" w:rsidRDefault="00CA377A" w:rsidP="004E08CA">
            <w:pPr>
              <w:rPr>
                <w:rFonts w:cs="Arial"/>
                <w:sz w:val="20"/>
                <w:szCs w:val="20"/>
                <w:lang w:eastAsia="tr-TR"/>
              </w:rPr>
            </w:pPr>
            <w:r w:rsidRPr="002F5032">
              <w:rPr>
                <w:rFonts w:cs="Arial"/>
                <w:sz w:val="20"/>
                <w:szCs w:val="20"/>
                <w:lang w:eastAsia="tr-TR"/>
              </w:rPr>
              <w:t>Bank of China Lim</w:t>
            </w:r>
            <w:r>
              <w:rPr>
                <w:rFonts w:cs="Arial"/>
                <w:sz w:val="20"/>
                <w:szCs w:val="20"/>
                <w:lang w:eastAsia="tr-TR"/>
              </w:rPr>
              <w:t>ited</w:t>
            </w:r>
            <w:r w:rsidRPr="002F5032">
              <w:rPr>
                <w:rFonts w:cs="Arial"/>
                <w:sz w:val="20"/>
                <w:szCs w:val="20"/>
                <w:lang w:eastAsia="tr-TR"/>
              </w:rPr>
              <w:t xml:space="preserve"> (ICBC)</w:t>
            </w:r>
          </w:p>
        </w:tc>
        <w:tc>
          <w:tcPr>
            <w:tcW w:w="3316" w:type="dxa"/>
            <w:tcBorders>
              <w:top w:val="nil"/>
              <w:left w:val="nil"/>
              <w:bottom w:val="nil"/>
              <w:right w:val="nil"/>
            </w:tcBorders>
            <w:vAlign w:val="center"/>
            <w:hideMark/>
          </w:tcPr>
          <w:p w14:paraId="76D8D39B" w14:textId="77777777" w:rsidR="00CA377A" w:rsidRPr="002F5032" w:rsidRDefault="00CA377A" w:rsidP="004E08CA">
            <w:pPr>
              <w:rPr>
                <w:rFonts w:cs="Arial"/>
                <w:sz w:val="20"/>
                <w:szCs w:val="20"/>
                <w:lang w:eastAsia="tr-TR"/>
              </w:rPr>
            </w:pPr>
            <w:r w:rsidRPr="002F5032">
              <w:rPr>
                <w:rFonts w:cs="Arial"/>
                <w:sz w:val="20"/>
                <w:szCs w:val="20"/>
                <w:lang w:eastAsia="tr-TR"/>
              </w:rPr>
              <w:t xml:space="preserve">                                               798,428,227</w:t>
            </w:r>
          </w:p>
        </w:tc>
        <w:tc>
          <w:tcPr>
            <w:tcW w:w="1950" w:type="dxa"/>
            <w:tcBorders>
              <w:top w:val="nil"/>
              <w:left w:val="nil"/>
              <w:bottom w:val="nil"/>
              <w:right w:val="nil"/>
            </w:tcBorders>
            <w:vAlign w:val="center"/>
            <w:hideMark/>
          </w:tcPr>
          <w:p w14:paraId="773AE2C8" w14:textId="77777777" w:rsidR="00CA377A" w:rsidRPr="002F5032" w:rsidRDefault="00CA377A" w:rsidP="004E08CA">
            <w:pPr>
              <w:jc w:val="right"/>
              <w:rPr>
                <w:rFonts w:cs="Arial"/>
                <w:sz w:val="20"/>
                <w:szCs w:val="20"/>
                <w:lang w:eastAsia="tr-TR"/>
              </w:rPr>
            </w:pPr>
            <w:r w:rsidRPr="002F5032">
              <w:rPr>
                <w:rFonts w:cs="Arial"/>
                <w:sz w:val="20"/>
                <w:szCs w:val="20"/>
                <w:lang w:eastAsia="tr-TR"/>
              </w:rPr>
              <w:t>92.84</w:t>
            </w:r>
          </w:p>
        </w:tc>
      </w:tr>
      <w:tr w:rsidR="00CA377A" w:rsidRPr="002F5032" w14:paraId="589BB0E5" w14:textId="77777777" w:rsidTr="006121B2">
        <w:trPr>
          <w:trHeight w:val="255"/>
        </w:trPr>
        <w:tc>
          <w:tcPr>
            <w:tcW w:w="3736" w:type="dxa"/>
            <w:tcBorders>
              <w:top w:val="nil"/>
              <w:left w:val="nil"/>
              <w:bottom w:val="nil"/>
              <w:right w:val="nil"/>
            </w:tcBorders>
            <w:vAlign w:val="center"/>
            <w:hideMark/>
          </w:tcPr>
          <w:p w14:paraId="0DF75BF3" w14:textId="77777777" w:rsidR="00CA377A" w:rsidRPr="002F5032" w:rsidRDefault="00CA377A" w:rsidP="004E08CA">
            <w:pPr>
              <w:rPr>
                <w:rFonts w:cs="Arial"/>
                <w:sz w:val="20"/>
                <w:szCs w:val="20"/>
                <w:lang w:eastAsia="tr-TR"/>
              </w:rPr>
            </w:pPr>
            <w:r w:rsidRPr="002F5032">
              <w:rPr>
                <w:rFonts w:cs="Arial"/>
                <w:sz w:val="20"/>
                <w:szCs w:val="20"/>
                <w:lang w:eastAsia="tr-TR"/>
              </w:rPr>
              <w:t xml:space="preserve">Halka Açık </w:t>
            </w:r>
          </w:p>
        </w:tc>
        <w:tc>
          <w:tcPr>
            <w:tcW w:w="3316" w:type="dxa"/>
            <w:tcBorders>
              <w:top w:val="nil"/>
              <w:left w:val="nil"/>
              <w:bottom w:val="nil"/>
              <w:right w:val="nil"/>
            </w:tcBorders>
            <w:vAlign w:val="center"/>
            <w:hideMark/>
          </w:tcPr>
          <w:p w14:paraId="658F2E79" w14:textId="77777777" w:rsidR="00CA377A" w:rsidRPr="002F5032" w:rsidRDefault="00CA377A" w:rsidP="004E08CA">
            <w:pPr>
              <w:rPr>
                <w:rFonts w:cs="Arial"/>
                <w:sz w:val="20"/>
                <w:szCs w:val="20"/>
                <w:lang w:eastAsia="tr-TR"/>
              </w:rPr>
            </w:pPr>
            <w:r w:rsidRPr="002F5032">
              <w:rPr>
                <w:rFonts w:cs="Arial"/>
                <w:sz w:val="20"/>
                <w:szCs w:val="20"/>
                <w:lang w:eastAsia="tr-TR"/>
              </w:rPr>
              <w:t xml:space="preserve">                                                 61,571,773</w:t>
            </w:r>
          </w:p>
        </w:tc>
        <w:tc>
          <w:tcPr>
            <w:tcW w:w="1950" w:type="dxa"/>
            <w:tcBorders>
              <w:top w:val="nil"/>
              <w:left w:val="nil"/>
              <w:bottom w:val="nil"/>
              <w:right w:val="nil"/>
            </w:tcBorders>
            <w:vAlign w:val="center"/>
            <w:hideMark/>
          </w:tcPr>
          <w:p w14:paraId="40F6D6D0" w14:textId="77777777" w:rsidR="00CA377A" w:rsidRPr="002F5032" w:rsidRDefault="00CA377A" w:rsidP="004E08CA">
            <w:pPr>
              <w:jc w:val="right"/>
              <w:rPr>
                <w:rFonts w:cs="Arial"/>
                <w:sz w:val="20"/>
                <w:szCs w:val="20"/>
                <w:lang w:eastAsia="tr-TR"/>
              </w:rPr>
            </w:pPr>
            <w:r w:rsidRPr="002F5032">
              <w:rPr>
                <w:rFonts w:cs="Arial"/>
                <w:sz w:val="20"/>
                <w:szCs w:val="20"/>
                <w:lang w:eastAsia="tr-TR"/>
              </w:rPr>
              <w:t>7.16</w:t>
            </w:r>
          </w:p>
        </w:tc>
      </w:tr>
      <w:tr w:rsidR="00CA377A" w:rsidRPr="002F5032" w14:paraId="064D7AA6" w14:textId="77777777" w:rsidTr="006121B2">
        <w:trPr>
          <w:trHeight w:val="270"/>
        </w:trPr>
        <w:tc>
          <w:tcPr>
            <w:tcW w:w="3736" w:type="dxa"/>
            <w:tcBorders>
              <w:top w:val="single" w:sz="4" w:space="0" w:color="auto"/>
              <w:left w:val="nil"/>
              <w:bottom w:val="double" w:sz="6" w:space="0" w:color="auto"/>
              <w:right w:val="nil"/>
            </w:tcBorders>
            <w:shd w:val="clear" w:color="000000" w:fill="FFFFFF"/>
            <w:noWrap/>
            <w:vAlign w:val="center"/>
            <w:hideMark/>
          </w:tcPr>
          <w:p w14:paraId="67DE1808" w14:textId="77777777" w:rsidR="00CA377A" w:rsidRPr="002F5032" w:rsidRDefault="00CA377A" w:rsidP="004E08CA">
            <w:pPr>
              <w:rPr>
                <w:rFonts w:cs="Arial"/>
                <w:b/>
                <w:sz w:val="20"/>
                <w:szCs w:val="20"/>
                <w:lang w:eastAsia="tr-TR"/>
              </w:rPr>
            </w:pPr>
            <w:r w:rsidRPr="002F5032">
              <w:rPr>
                <w:rFonts w:cs="Arial"/>
                <w:b/>
                <w:sz w:val="20"/>
                <w:szCs w:val="20"/>
                <w:lang w:eastAsia="tr-TR"/>
              </w:rPr>
              <w:t>Genel Toplam</w:t>
            </w:r>
          </w:p>
        </w:tc>
        <w:tc>
          <w:tcPr>
            <w:tcW w:w="3316" w:type="dxa"/>
            <w:tcBorders>
              <w:top w:val="single" w:sz="4" w:space="0" w:color="auto"/>
              <w:left w:val="nil"/>
              <w:bottom w:val="double" w:sz="6" w:space="0" w:color="auto"/>
              <w:right w:val="nil"/>
            </w:tcBorders>
            <w:vAlign w:val="center"/>
            <w:hideMark/>
          </w:tcPr>
          <w:p w14:paraId="4E4CD8C0" w14:textId="77777777" w:rsidR="00CA377A" w:rsidRPr="002F5032" w:rsidRDefault="00CA377A" w:rsidP="004E08CA">
            <w:pPr>
              <w:jc w:val="center"/>
              <w:rPr>
                <w:rFonts w:cs="Arial"/>
                <w:b/>
                <w:sz w:val="20"/>
                <w:szCs w:val="20"/>
                <w:lang w:eastAsia="tr-TR"/>
              </w:rPr>
            </w:pPr>
            <w:r w:rsidRPr="002F5032">
              <w:rPr>
                <w:rFonts w:cs="Arial"/>
                <w:b/>
                <w:sz w:val="20"/>
                <w:szCs w:val="20"/>
                <w:lang w:eastAsia="tr-TR"/>
              </w:rPr>
              <w:t xml:space="preserve">                                           860,000,000</w:t>
            </w:r>
          </w:p>
        </w:tc>
        <w:tc>
          <w:tcPr>
            <w:tcW w:w="1950" w:type="dxa"/>
            <w:tcBorders>
              <w:top w:val="single" w:sz="4" w:space="0" w:color="auto"/>
              <w:left w:val="nil"/>
              <w:bottom w:val="double" w:sz="6" w:space="0" w:color="auto"/>
              <w:right w:val="nil"/>
            </w:tcBorders>
            <w:vAlign w:val="center"/>
            <w:hideMark/>
          </w:tcPr>
          <w:p w14:paraId="75242287" w14:textId="77777777" w:rsidR="00CA377A" w:rsidRPr="002F5032" w:rsidRDefault="00CA377A" w:rsidP="004E08CA">
            <w:pPr>
              <w:jc w:val="right"/>
              <w:rPr>
                <w:rFonts w:cs="Arial"/>
                <w:b/>
                <w:sz w:val="20"/>
                <w:szCs w:val="20"/>
                <w:lang w:eastAsia="tr-TR"/>
              </w:rPr>
            </w:pPr>
            <w:r w:rsidRPr="002F5032">
              <w:rPr>
                <w:rFonts w:cs="Arial"/>
                <w:b/>
                <w:sz w:val="20"/>
                <w:szCs w:val="20"/>
                <w:lang w:eastAsia="tr-TR"/>
              </w:rPr>
              <w:t>100.00</w:t>
            </w:r>
          </w:p>
        </w:tc>
      </w:tr>
    </w:tbl>
    <w:p w14:paraId="394A6727" w14:textId="77777777" w:rsidR="00CA377A" w:rsidRPr="002F5032" w:rsidRDefault="00CA377A" w:rsidP="00F13BF0">
      <w:pPr>
        <w:pStyle w:val="anayaz"/>
        <w:ind w:right="-284"/>
      </w:pPr>
      <w:r w:rsidRPr="002F5032">
        <w:t>6102 sayılı Türk Ticaret Kanunu’nun 379.</w:t>
      </w:r>
      <w:r w:rsidR="00937216">
        <w:t xml:space="preserve"> </w:t>
      </w:r>
      <w:r w:rsidRPr="002F5032">
        <w:t xml:space="preserve">maddesi kapsamında Bankamızın iktisap ettiği kendi payı bulunmamaktadır. </w:t>
      </w:r>
    </w:p>
    <w:p w14:paraId="766425D8" w14:textId="77777777" w:rsidR="00CA377A" w:rsidRDefault="00CA377A" w:rsidP="00F13BF0">
      <w:pPr>
        <w:ind w:right="-284"/>
        <w:jc w:val="both"/>
        <w:rPr>
          <w:bCs/>
        </w:rPr>
      </w:pPr>
      <w:r w:rsidRPr="002F5032">
        <w:rPr>
          <w:b/>
          <w:bCs/>
        </w:rPr>
        <w:t>Yöneticilerin Sahip Oldukları Paylar;</w:t>
      </w:r>
      <w:r w:rsidRPr="002F5032">
        <w:rPr>
          <w:bCs/>
        </w:rPr>
        <w:t xml:space="preserve"> Banka’nın ortaklık yapısı içerisinde pay defteri kayıtlarına göre, Yönetim Kurulu Üyeleri ile Genel Müdür ve Yardımcılarının payları bulunmamaktadır.</w:t>
      </w:r>
    </w:p>
    <w:p w14:paraId="041D88B6" w14:textId="3D21DF58" w:rsidR="00CA377A" w:rsidRPr="002F5032" w:rsidRDefault="00CA377A" w:rsidP="00AC0288">
      <w:pPr>
        <w:pStyle w:val="Heading1"/>
        <w:spacing w:before="240" w:after="240" w:line="228" w:lineRule="auto"/>
      </w:pPr>
      <w:r w:rsidRPr="002F5032">
        <w:t>Yönetim Kurulu Başkan ve Üyeleri, Denetim Komitesi Üyeleri</w:t>
      </w:r>
    </w:p>
    <w:tbl>
      <w:tblPr>
        <w:tblW w:w="9015" w:type="dxa"/>
        <w:tblInd w:w="70" w:type="dxa"/>
        <w:tblCellMar>
          <w:left w:w="70" w:type="dxa"/>
          <w:right w:w="70" w:type="dxa"/>
        </w:tblCellMar>
        <w:tblLook w:val="04A0" w:firstRow="1" w:lastRow="0" w:firstColumn="1" w:lastColumn="0" w:noHBand="0" w:noVBand="1"/>
      </w:tblPr>
      <w:tblGrid>
        <w:gridCol w:w="3365"/>
        <w:gridCol w:w="5650"/>
      </w:tblGrid>
      <w:tr w:rsidR="00CA377A" w:rsidRPr="002F5032" w14:paraId="20AB4BA0" w14:textId="77777777" w:rsidTr="00157C7B">
        <w:trPr>
          <w:trHeight w:val="308"/>
        </w:trPr>
        <w:tc>
          <w:tcPr>
            <w:tcW w:w="3365" w:type="dxa"/>
            <w:tcBorders>
              <w:top w:val="single" w:sz="4" w:space="0" w:color="auto"/>
              <w:left w:val="nil"/>
              <w:right w:val="nil"/>
            </w:tcBorders>
            <w:shd w:val="clear" w:color="000000" w:fill="FFCC99"/>
            <w:noWrap/>
            <w:vAlign w:val="bottom"/>
            <w:hideMark/>
          </w:tcPr>
          <w:p w14:paraId="7C125FF1" w14:textId="77777777" w:rsidR="00CA377A" w:rsidRPr="002F5032" w:rsidRDefault="00CA377A" w:rsidP="00AC0288">
            <w:pPr>
              <w:spacing w:line="228" w:lineRule="auto"/>
              <w:rPr>
                <w:rFonts w:ascii="Times New Roman" w:hAnsi="Times New Roman"/>
                <w:b/>
                <w:bCs/>
                <w:color w:val="auto"/>
                <w:sz w:val="24"/>
                <w:lang w:eastAsia="tr-TR"/>
              </w:rPr>
            </w:pPr>
            <w:r w:rsidRPr="002F5032">
              <w:rPr>
                <w:rFonts w:ascii="Times New Roman" w:hAnsi="Times New Roman"/>
                <w:b/>
                <w:bCs/>
                <w:color w:val="auto"/>
                <w:sz w:val="24"/>
                <w:lang w:eastAsia="tr-TR"/>
              </w:rPr>
              <w:t>İsim</w:t>
            </w:r>
          </w:p>
        </w:tc>
        <w:tc>
          <w:tcPr>
            <w:tcW w:w="5650" w:type="dxa"/>
            <w:tcBorders>
              <w:top w:val="single" w:sz="4" w:space="0" w:color="auto"/>
              <w:left w:val="nil"/>
              <w:right w:val="nil"/>
            </w:tcBorders>
            <w:shd w:val="clear" w:color="000000" w:fill="FFCC99"/>
            <w:noWrap/>
            <w:vAlign w:val="bottom"/>
            <w:hideMark/>
          </w:tcPr>
          <w:p w14:paraId="67F798BC" w14:textId="77777777" w:rsidR="00CA377A" w:rsidRPr="002F5032" w:rsidRDefault="00CA377A" w:rsidP="00AC0288">
            <w:pPr>
              <w:spacing w:line="228" w:lineRule="auto"/>
              <w:rPr>
                <w:rFonts w:ascii="Times New Roman" w:hAnsi="Times New Roman"/>
                <w:b/>
                <w:bCs/>
                <w:color w:val="auto"/>
                <w:sz w:val="24"/>
                <w:lang w:eastAsia="tr-TR"/>
              </w:rPr>
            </w:pPr>
            <w:r w:rsidRPr="002F5032">
              <w:rPr>
                <w:rFonts w:ascii="Times New Roman" w:hAnsi="Times New Roman"/>
                <w:b/>
                <w:bCs/>
                <w:color w:val="auto"/>
                <w:sz w:val="24"/>
                <w:lang w:eastAsia="tr-TR"/>
              </w:rPr>
              <w:t xml:space="preserve">Görevi ve Sorumluluk Alanı </w:t>
            </w:r>
          </w:p>
        </w:tc>
      </w:tr>
      <w:tr w:rsidR="00C801B7" w:rsidRPr="002F5032" w14:paraId="6E922EC7" w14:textId="77777777" w:rsidTr="00157C7B">
        <w:trPr>
          <w:trHeight w:val="275"/>
        </w:trPr>
        <w:tc>
          <w:tcPr>
            <w:tcW w:w="3365" w:type="dxa"/>
            <w:tcBorders>
              <w:left w:val="nil"/>
              <w:right w:val="nil"/>
            </w:tcBorders>
            <w:shd w:val="clear" w:color="000000" w:fill="FFFFFF"/>
            <w:noWrap/>
            <w:vAlign w:val="bottom"/>
          </w:tcPr>
          <w:p w14:paraId="6680FF1B" w14:textId="34B51659" w:rsidR="00C801B7" w:rsidRPr="00743D29" w:rsidRDefault="00C801B7" w:rsidP="00E36DAB">
            <w:pPr>
              <w:spacing w:before="100" w:beforeAutospacing="1" w:after="100" w:afterAutospacing="1" w:line="228" w:lineRule="auto"/>
              <w:rPr>
                <w:rFonts w:cs="Arial"/>
                <w:color w:val="auto"/>
                <w:sz w:val="20"/>
                <w:lang w:eastAsia="tr-TR"/>
              </w:rPr>
            </w:pPr>
            <w:r w:rsidRPr="00743D29">
              <w:rPr>
                <w:rFonts w:cs="Arial"/>
                <w:color w:val="auto"/>
                <w:sz w:val="20"/>
                <w:lang w:eastAsia="tr-TR"/>
              </w:rPr>
              <w:t>Xiangyang Gao</w:t>
            </w:r>
          </w:p>
        </w:tc>
        <w:tc>
          <w:tcPr>
            <w:tcW w:w="5650" w:type="dxa"/>
            <w:tcBorders>
              <w:left w:val="nil"/>
              <w:right w:val="nil"/>
            </w:tcBorders>
            <w:shd w:val="clear" w:color="000000" w:fill="FFFFFF"/>
            <w:noWrap/>
            <w:vAlign w:val="bottom"/>
          </w:tcPr>
          <w:p w14:paraId="7DC7A1AC" w14:textId="4BF68AF6" w:rsidR="00C801B7" w:rsidRPr="00743D29" w:rsidRDefault="00E36DAB" w:rsidP="00E36DAB">
            <w:pPr>
              <w:spacing w:before="100" w:beforeAutospacing="1" w:after="100" w:afterAutospacing="1" w:line="228" w:lineRule="auto"/>
              <w:rPr>
                <w:rFonts w:cs="Arial"/>
                <w:color w:val="auto"/>
                <w:sz w:val="20"/>
                <w:lang w:eastAsia="tr-TR"/>
              </w:rPr>
            </w:pPr>
            <w:r w:rsidRPr="00743D29">
              <w:rPr>
                <w:rFonts w:cs="Arial"/>
                <w:color w:val="auto"/>
                <w:sz w:val="20"/>
                <w:lang w:eastAsia="tr-TR"/>
              </w:rPr>
              <w:t>Yönetim Kurulu Başkanı</w:t>
            </w:r>
          </w:p>
        </w:tc>
      </w:tr>
      <w:tr w:rsidR="00E36DAB" w:rsidRPr="002F5032" w14:paraId="35D1856A" w14:textId="77777777" w:rsidTr="00157C7B">
        <w:trPr>
          <w:trHeight w:val="275"/>
        </w:trPr>
        <w:tc>
          <w:tcPr>
            <w:tcW w:w="3365" w:type="dxa"/>
            <w:tcBorders>
              <w:left w:val="nil"/>
              <w:right w:val="nil"/>
            </w:tcBorders>
            <w:shd w:val="clear" w:color="000000" w:fill="FFFFFF"/>
            <w:noWrap/>
            <w:vAlign w:val="bottom"/>
          </w:tcPr>
          <w:p w14:paraId="79198CB0" w14:textId="0FD092F4" w:rsidR="00E36DAB" w:rsidRPr="00743D29" w:rsidRDefault="004B5B31" w:rsidP="00E36DAB">
            <w:pPr>
              <w:spacing w:before="100" w:beforeAutospacing="1" w:after="100" w:afterAutospacing="1" w:line="228" w:lineRule="auto"/>
              <w:rPr>
                <w:rFonts w:cs="Arial"/>
                <w:color w:val="auto"/>
                <w:sz w:val="20"/>
                <w:lang w:eastAsia="tr-TR"/>
              </w:rPr>
            </w:pPr>
            <w:r>
              <w:rPr>
                <w:rFonts w:cs="Arial"/>
                <w:color w:val="auto"/>
                <w:sz w:val="20"/>
                <w:lang w:eastAsia="tr-TR"/>
              </w:rPr>
              <w:t>Chunyi Zheng</w:t>
            </w:r>
            <w:r w:rsidR="001864E0" w:rsidRPr="00F16AE0">
              <w:rPr>
                <w:rFonts w:cs="Arial"/>
                <w:color w:val="auto"/>
                <w:sz w:val="20"/>
                <w:vertAlign w:val="superscript"/>
                <w:lang w:eastAsia="tr-TR"/>
              </w:rPr>
              <w:t>(*)</w:t>
            </w:r>
            <w:r w:rsidR="001864E0">
              <w:rPr>
                <w:rFonts w:cs="Arial"/>
                <w:color w:val="auto"/>
                <w:sz w:val="20"/>
                <w:vertAlign w:val="superscript"/>
                <w:lang w:eastAsia="tr-TR"/>
              </w:rPr>
              <w:t>(**)</w:t>
            </w:r>
          </w:p>
        </w:tc>
        <w:tc>
          <w:tcPr>
            <w:tcW w:w="5650" w:type="dxa"/>
            <w:tcBorders>
              <w:left w:val="nil"/>
              <w:right w:val="nil"/>
            </w:tcBorders>
            <w:shd w:val="clear" w:color="000000" w:fill="FFFFFF"/>
            <w:noWrap/>
            <w:vAlign w:val="bottom"/>
          </w:tcPr>
          <w:p w14:paraId="64373AA4" w14:textId="5876439F" w:rsidR="00E36DAB" w:rsidRPr="00743D29" w:rsidRDefault="00E36DAB" w:rsidP="00E36DAB">
            <w:pPr>
              <w:spacing w:before="100" w:beforeAutospacing="1" w:after="100" w:afterAutospacing="1" w:line="228" w:lineRule="auto"/>
              <w:rPr>
                <w:rFonts w:cs="Arial"/>
                <w:color w:val="auto"/>
                <w:sz w:val="20"/>
                <w:lang w:eastAsia="tr-TR"/>
              </w:rPr>
            </w:pPr>
            <w:r w:rsidRPr="00743D29">
              <w:rPr>
                <w:rFonts w:cs="Arial"/>
                <w:color w:val="auto"/>
                <w:sz w:val="20"/>
                <w:lang w:eastAsia="tr-TR"/>
              </w:rPr>
              <w:t>Y.K. Üyesi ve Genel Müdür</w:t>
            </w:r>
            <w:r w:rsidR="004B5B31">
              <w:rPr>
                <w:rFonts w:cs="Arial"/>
                <w:color w:val="auto"/>
                <w:sz w:val="20"/>
                <w:lang w:eastAsia="tr-TR"/>
              </w:rPr>
              <w:t xml:space="preserve"> Vekili</w:t>
            </w:r>
          </w:p>
        </w:tc>
      </w:tr>
      <w:tr w:rsidR="00E36DAB" w:rsidRPr="002F5032" w14:paraId="11E2760E" w14:textId="77777777" w:rsidTr="00157C7B">
        <w:trPr>
          <w:trHeight w:val="275"/>
        </w:trPr>
        <w:tc>
          <w:tcPr>
            <w:tcW w:w="3365" w:type="dxa"/>
            <w:tcBorders>
              <w:left w:val="nil"/>
              <w:right w:val="nil"/>
            </w:tcBorders>
            <w:shd w:val="clear" w:color="000000" w:fill="FFFFFF"/>
            <w:noWrap/>
            <w:vAlign w:val="bottom"/>
          </w:tcPr>
          <w:p w14:paraId="17C4AF93" w14:textId="5AECAFEE" w:rsidR="00E36DAB" w:rsidRPr="00945F44"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Peiguo Liu</w:t>
            </w:r>
          </w:p>
        </w:tc>
        <w:tc>
          <w:tcPr>
            <w:tcW w:w="5650" w:type="dxa"/>
            <w:tcBorders>
              <w:left w:val="nil"/>
              <w:right w:val="nil"/>
            </w:tcBorders>
            <w:shd w:val="clear" w:color="000000" w:fill="FFFFFF"/>
            <w:noWrap/>
            <w:vAlign w:val="bottom"/>
          </w:tcPr>
          <w:p w14:paraId="6F906793" w14:textId="11BF4313" w:rsidR="00E36DAB" w:rsidRPr="00743D29"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Y.K. Üyesi  ve Denetim Komitesi Başkanı</w:t>
            </w:r>
          </w:p>
        </w:tc>
      </w:tr>
      <w:tr w:rsidR="00E36DAB" w:rsidRPr="002F5032" w14:paraId="5CB5F364" w14:textId="77777777" w:rsidTr="00157C7B">
        <w:trPr>
          <w:trHeight w:val="275"/>
        </w:trPr>
        <w:tc>
          <w:tcPr>
            <w:tcW w:w="3365" w:type="dxa"/>
            <w:tcBorders>
              <w:left w:val="nil"/>
              <w:right w:val="nil"/>
            </w:tcBorders>
            <w:shd w:val="clear" w:color="000000" w:fill="FFFFFF"/>
            <w:noWrap/>
            <w:vAlign w:val="bottom"/>
          </w:tcPr>
          <w:p w14:paraId="33633F6B" w14:textId="591877A7" w:rsidR="00E36DAB" w:rsidRPr="00945F44"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Jianfeng Zheng</w:t>
            </w:r>
          </w:p>
        </w:tc>
        <w:tc>
          <w:tcPr>
            <w:tcW w:w="5650" w:type="dxa"/>
            <w:tcBorders>
              <w:left w:val="nil"/>
              <w:right w:val="nil"/>
            </w:tcBorders>
            <w:shd w:val="clear" w:color="000000" w:fill="FFFFFF"/>
            <w:noWrap/>
            <w:vAlign w:val="bottom"/>
          </w:tcPr>
          <w:p w14:paraId="0184BF92" w14:textId="4EF672FF" w:rsidR="00E36DAB" w:rsidRPr="00743D29"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Y.K. Üyesi</w:t>
            </w:r>
          </w:p>
        </w:tc>
      </w:tr>
      <w:tr w:rsidR="00E36DAB" w:rsidRPr="002F5032" w14:paraId="4D38C23D" w14:textId="77777777" w:rsidTr="00157C7B">
        <w:trPr>
          <w:trHeight w:val="275"/>
        </w:trPr>
        <w:tc>
          <w:tcPr>
            <w:tcW w:w="3365" w:type="dxa"/>
            <w:tcBorders>
              <w:left w:val="nil"/>
              <w:right w:val="nil"/>
            </w:tcBorders>
            <w:shd w:val="clear" w:color="000000" w:fill="FFFFFF"/>
            <w:noWrap/>
            <w:vAlign w:val="bottom"/>
          </w:tcPr>
          <w:p w14:paraId="4B473BBD" w14:textId="55DF3999" w:rsidR="00E36DAB" w:rsidRPr="00945F44"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Ying Wang</w:t>
            </w:r>
          </w:p>
        </w:tc>
        <w:tc>
          <w:tcPr>
            <w:tcW w:w="5650" w:type="dxa"/>
            <w:tcBorders>
              <w:left w:val="nil"/>
              <w:right w:val="nil"/>
            </w:tcBorders>
            <w:shd w:val="clear" w:color="000000" w:fill="FFFFFF"/>
            <w:noWrap/>
            <w:vAlign w:val="bottom"/>
          </w:tcPr>
          <w:p w14:paraId="06CBA2FF" w14:textId="70169876" w:rsidR="00E36DAB" w:rsidRPr="00743D29"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Bağımsız Y.K. Üyesi  ve Denetim Komitesi Üyesi</w:t>
            </w:r>
          </w:p>
        </w:tc>
      </w:tr>
      <w:tr w:rsidR="00E36DAB" w:rsidRPr="002F5032" w14:paraId="5EF2E319" w14:textId="77777777" w:rsidTr="00157C7B">
        <w:trPr>
          <w:trHeight w:val="275"/>
        </w:trPr>
        <w:tc>
          <w:tcPr>
            <w:tcW w:w="3365" w:type="dxa"/>
            <w:tcBorders>
              <w:left w:val="nil"/>
              <w:bottom w:val="double" w:sz="4" w:space="0" w:color="auto"/>
              <w:right w:val="nil"/>
            </w:tcBorders>
            <w:shd w:val="clear" w:color="000000" w:fill="FFFFFF"/>
            <w:noWrap/>
            <w:vAlign w:val="bottom"/>
          </w:tcPr>
          <w:p w14:paraId="15808171" w14:textId="56776961" w:rsidR="00E36DAB" w:rsidRPr="00945F44"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 xml:space="preserve">Serhat Yanık  </w:t>
            </w:r>
          </w:p>
        </w:tc>
        <w:tc>
          <w:tcPr>
            <w:tcW w:w="5650" w:type="dxa"/>
            <w:tcBorders>
              <w:left w:val="nil"/>
              <w:bottom w:val="double" w:sz="4" w:space="0" w:color="auto"/>
              <w:right w:val="nil"/>
            </w:tcBorders>
            <w:shd w:val="clear" w:color="000000" w:fill="FFFFFF"/>
            <w:noWrap/>
            <w:vAlign w:val="bottom"/>
          </w:tcPr>
          <w:p w14:paraId="7DF29960" w14:textId="448FEE39" w:rsidR="00E36DAB" w:rsidRPr="00743D29" w:rsidRDefault="00E36DAB" w:rsidP="00743D29">
            <w:pPr>
              <w:spacing w:before="100" w:beforeAutospacing="1" w:after="100" w:afterAutospacing="1" w:line="228" w:lineRule="auto"/>
              <w:rPr>
                <w:rFonts w:cs="Arial"/>
                <w:color w:val="auto"/>
                <w:sz w:val="20"/>
                <w:lang w:eastAsia="tr-TR"/>
              </w:rPr>
            </w:pPr>
            <w:r w:rsidRPr="00743D29">
              <w:rPr>
                <w:rFonts w:cs="Arial"/>
                <w:color w:val="auto"/>
                <w:sz w:val="20"/>
                <w:lang w:eastAsia="tr-TR"/>
              </w:rPr>
              <w:t xml:space="preserve">Bağımsız Y.K Üyesi  </w:t>
            </w:r>
          </w:p>
        </w:tc>
      </w:tr>
    </w:tbl>
    <w:p w14:paraId="73F301DE" w14:textId="2C11E916" w:rsidR="00B605A2" w:rsidRPr="00B605A2" w:rsidRDefault="00B605A2" w:rsidP="00B605A2"/>
    <w:p w14:paraId="26FF0D3A" w14:textId="11A2D898" w:rsidR="00CA377A" w:rsidRPr="002F5032" w:rsidRDefault="00CA377A" w:rsidP="00AC0288">
      <w:pPr>
        <w:pStyle w:val="Heading1"/>
        <w:spacing w:before="120" w:after="240" w:line="228" w:lineRule="auto"/>
      </w:pPr>
      <w:r w:rsidRPr="002F5032">
        <w:t xml:space="preserve">Banka Üst Yönetimi ve Bankadaki Sorumlulukları </w:t>
      </w:r>
    </w:p>
    <w:tbl>
      <w:tblPr>
        <w:tblW w:w="9144" w:type="dxa"/>
        <w:tblInd w:w="70" w:type="dxa"/>
        <w:tblCellMar>
          <w:left w:w="70" w:type="dxa"/>
          <w:right w:w="70" w:type="dxa"/>
        </w:tblCellMar>
        <w:tblLook w:val="04A0" w:firstRow="1" w:lastRow="0" w:firstColumn="1" w:lastColumn="0" w:noHBand="0" w:noVBand="1"/>
      </w:tblPr>
      <w:tblGrid>
        <w:gridCol w:w="3402"/>
        <w:gridCol w:w="5742"/>
      </w:tblGrid>
      <w:tr w:rsidR="00CA377A" w:rsidRPr="002F5032" w14:paraId="1661A3EA" w14:textId="77777777" w:rsidTr="00157C7B">
        <w:trPr>
          <w:trHeight w:val="285"/>
        </w:trPr>
        <w:tc>
          <w:tcPr>
            <w:tcW w:w="3402" w:type="dxa"/>
            <w:tcBorders>
              <w:top w:val="single" w:sz="4" w:space="0" w:color="auto"/>
              <w:left w:val="nil"/>
              <w:right w:val="nil"/>
            </w:tcBorders>
            <w:shd w:val="clear" w:color="000000" w:fill="FFCC99"/>
            <w:noWrap/>
            <w:vAlign w:val="bottom"/>
            <w:hideMark/>
          </w:tcPr>
          <w:p w14:paraId="21AB2710" w14:textId="77777777" w:rsidR="00CA377A" w:rsidRPr="002F5032" w:rsidRDefault="00CA377A" w:rsidP="00AC0288">
            <w:pPr>
              <w:spacing w:line="228" w:lineRule="auto"/>
              <w:rPr>
                <w:rFonts w:ascii="Times New Roman" w:hAnsi="Times New Roman"/>
                <w:b/>
                <w:bCs/>
                <w:color w:val="auto"/>
                <w:sz w:val="24"/>
                <w:lang w:eastAsia="tr-TR"/>
              </w:rPr>
            </w:pPr>
            <w:r w:rsidRPr="002F5032">
              <w:rPr>
                <w:rFonts w:ascii="Times New Roman" w:hAnsi="Times New Roman"/>
                <w:b/>
                <w:bCs/>
                <w:color w:val="auto"/>
                <w:sz w:val="24"/>
                <w:lang w:eastAsia="tr-TR"/>
              </w:rPr>
              <w:t>İsim</w:t>
            </w:r>
          </w:p>
        </w:tc>
        <w:tc>
          <w:tcPr>
            <w:tcW w:w="5742" w:type="dxa"/>
            <w:tcBorders>
              <w:top w:val="single" w:sz="4" w:space="0" w:color="auto"/>
              <w:left w:val="nil"/>
              <w:right w:val="nil"/>
            </w:tcBorders>
            <w:shd w:val="clear" w:color="000000" w:fill="FFCC99"/>
            <w:noWrap/>
            <w:vAlign w:val="bottom"/>
            <w:hideMark/>
          </w:tcPr>
          <w:p w14:paraId="3E06651B" w14:textId="77777777" w:rsidR="00CA377A" w:rsidRPr="002F5032" w:rsidRDefault="00CA377A" w:rsidP="00AC0288">
            <w:pPr>
              <w:spacing w:line="228" w:lineRule="auto"/>
              <w:rPr>
                <w:rFonts w:ascii="Times New Roman" w:hAnsi="Times New Roman"/>
                <w:b/>
                <w:bCs/>
                <w:color w:val="auto"/>
                <w:sz w:val="24"/>
                <w:lang w:eastAsia="tr-TR"/>
              </w:rPr>
            </w:pPr>
            <w:r w:rsidRPr="002F5032">
              <w:rPr>
                <w:rFonts w:ascii="Times New Roman" w:hAnsi="Times New Roman"/>
                <w:b/>
                <w:bCs/>
                <w:color w:val="auto"/>
                <w:sz w:val="24"/>
                <w:lang w:eastAsia="tr-TR"/>
              </w:rPr>
              <w:t xml:space="preserve">Görevi ve Sorumluluk Alanı </w:t>
            </w:r>
          </w:p>
        </w:tc>
      </w:tr>
      <w:tr w:rsidR="00C801B7" w:rsidRPr="002F5032" w14:paraId="3E5C50BB" w14:textId="77777777" w:rsidTr="004B5B31">
        <w:trPr>
          <w:trHeight w:val="255"/>
        </w:trPr>
        <w:tc>
          <w:tcPr>
            <w:tcW w:w="3402" w:type="dxa"/>
            <w:tcBorders>
              <w:left w:val="nil"/>
              <w:right w:val="nil"/>
            </w:tcBorders>
            <w:shd w:val="clear" w:color="000000" w:fill="FFFFFF"/>
            <w:noWrap/>
          </w:tcPr>
          <w:p w14:paraId="3AD9F916" w14:textId="436E9D67" w:rsidR="00C801B7" w:rsidRPr="00945F44" w:rsidRDefault="004B5B31" w:rsidP="00C801B7">
            <w:pPr>
              <w:spacing w:line="228" w:lineRule="auto"/>
              <w:rPr>
                <w:rFonts w:cs="Arial"/>
                <w:color w:val="auto"/>
                <w:sz w:val="20"/>
                <w:lang w:eastAsia="tr-TR"/>
              </w:rPr>
            </w:pPr>
            <w:r>
              <w:rPr>
                <w:rFonts w:cs="Arial"/>
                <w:color w:val="auto"/>
                <w:sz w:val="20"/>
                <w:lang w:eastAsia="tr-TR"/>
              </w:rPr>
              <w:t>Chunyi Zheng</w:t>
            </w:r>
            <w:r w:rsidR="00F16AE0" w:rsidRPr="00F16AE0">
              <w:rPr>
                <w:rFonts w:cs="Arial"/>
                <w:color w:val="auto"/>
                <w:sz w:val="20"/>
                <w:vertAlign w:val="superscript"/>
                <w:lang w:eastAsia="tr-TR"/>
              </w:rPr>
              <w:t>(*)</w:t>
            </w:r>
            <w:r w:rsidR="00D73480">
              <w:rPr>
                <w:rFonts w:cs="Arial"/>
                <w:color w:val="auto"/>
                <w:sz w:val="20"/>
                <w:vertAlign w:val="superscript"/>
                <w:lang w:eastAsia="tr-TR"/>
              </w:rPr>
              <w:t>(**)</w:t>
            </w:r>
          </w:p>
        </w:tc>
        <w:tc>
          <w:tcPr>
            <w:tcW w:w="5742" w:type="dxa"/>
            <w:tcBorders>
              <w:left w:val="nil"/>
              <w:right w:val="nil"/>
            </w:tcBorders>
            <w:shd w:val="clear" w:color="000000" w:fill="FFFFFF"/>
            <w:noWrap/>
            <w:vAlign w:val="bottom"/>
          </w:tcPr>
          <w:p w14:paraId="573599DB" w14:textId="2E996DC8" w:rsidR="00C801B7" w:rsidRPr="00945F44" w:rsidRDefault="00C801B7" w:rsidP="00C801B7">
            <w:pPr>
              <w:spacing w:before="100" w:beforeAutospacing="1" w:after="100" w:afterAutospacing="1" w:line="228" w:lineRule="auto"/>
              <w:rPr>
                <w:rFonts w:cs="Arial"/>
                <w:color w:val="auto"/>
                <w:sz w:val="20"/>
                <w:lang w:eastAsia="tr-TR"/>
              </w:rPr>
            </w:pPr>
            <w:r w:rsidRPr="00C801B7">
              <w:rPr>
                <w:rFonts w:cs="Arial"/>
                <w:color w:val="auto"/>
                <w:sz w:val="20"/>
                <w:lang w:eastAsia="tr-TR"/>
              </w:rPr>
              <w:t>Genel Müdür</w:t>
            </w:r>
            <w:r w:rsidR="004B5B31">
              <w:rPr>
                <w:rFonts w:cs="Arial"/>
                <w:color w:val="auto"/>
                <w:sz w:val="20"/>
                <w:lang w:eastAsia="tr-TR"/>
              </w:rPr>
              <w:t xml:space="preserve"> Vekili </w:t>
            </w:r>
            <w:r w:rsidRPr="00C801B7">
              <w:rPr>
                <w:rFonts w:cs="Arial"/>
                <w:color w:val="auto"/>
                <w:sz w:val="20"/>
                <w:lang w:eastAsia="tr-TR"/>
              </w:rPr>
              <w:t>-</w:t>
            </w:r>
            <w:r w:rsidR="00D73480">
              <w:rPr>
                <w:rFonts w:cs="Arial"/>
                <w:color w:val="auto"/>
                <w:sz w:val="20"/>
                <w:lang w:eastAsia="tr-TR"/>
              </w:rPr>
              <w:t xml:space="preserve"> </w:t>
            </w:r>
            <w:r w:rsidRPr="00C801B7">
              <w:rPr>
                <w:rFonts w:cs="Arial"/>
                <w:color w:val="auto"/>
                <w:sz w:val="20"/>
                <w:lang w:eastAsia="tr-TR"/>
              </w:rPr>
              <w:t>Yönetim Kurulu Üyesi</w:t>
            </w:r>
            <w:r w:rsidR="004B5B31">
              <w:rPr>
                <w:rFonts w:cs="Arial"/>
                <w:color w:val="auto"/>
                <w:sz w:val="20"/>
                <w:lang w:eastAsia="tr-TR"/>
              </w:rPr>
              <w:t xml:space="preserve"> – Proje ve Cross Border Finansman Bölümü, Perakende Bankacılık Bölümü, Yönetim Ofisi Genel Sekreterlik Birimi, Kredi ve Yatırım Yönetimi Bölümü ve Yatırım Bankacılığı Bölümü</w:t>
            </w:r>
          </w:p>
        </w:tc>
      </w:tr>
      <w:tr w:rsidR="00C801B7" w:rsidRPr="002F5032" w14:paraId="4B5879DF" w14:textId="77777777" w:rsidTr="004B5B31">
        <w:trPr>
          <w:trHeight w:val="255"/>
        </w:trPr>
        <w:tc>
          <w:tcPr>
            <w:tcW w:w="3402" w:type="dxa"/>
            <w:tcBorders>
              <w:left w:val="nil"/>
              <w:right w:val="nil"/>
            </w:tcBorders>
            <w:shd w:val="clear" w:color="000000" w:fill="FFFFFF"/>
            <w:noWrap/>
            <w:hideMark/>
          </w:tcPr>
          <w:p w14:paraId="7691FE88" w14:textId="77777777" w:rsidR="00C801B7" w:rsidRPr="00B14FFB" w:rsidRDefault="00C801B7" w:rsidP="00C801B7">
            <w:pPr>
              <w:spacing w:before="100" w:beforeAutospacing="1" w:after="100" w:afterAutospacing="1" w:line="228" w:lineRule="auto"/>
              <w:rPr>
                <w:rFonts w:cs="Arial"/>
                <w:color w:val="auto"/>
                <w:sz w:val="20"/>
                <w:lang w:eastAsia="tr-TR"/>
              </w:rPr>
            </w:pPr>
            <w:r w:rsidRPr="00B14FFB">
              <w:rPr>
                <w:sz w:val="20"/>
              </w:rPr>
              <w:t>Jinhong Li</w:t>
            </w:r>
          </w:p>
        </w:tc>
        <w:tc>
          <w:tcPr>
            <w:tcW w:w="5742" w:type="dxa"/>
            <w:tcBorders>
              <w:left w:val="nil"/>
              <w:right w:val="nil"/>
            </w:tcBorders>
            <w:shd w:val="clear" w:color="000000" w:fill="FFFFFF"/>
            <w:noWrap/>
            <w:vAlign w:val="bottom"/>
            <w:hideMark/>
          </w:tcPr>
          <w:p w14:paraId="59DE9720" w14:textId="6CF28FAE" w:rsidR="00C801B7" w:rsidRPr="00945F44" w:rsidRDefault="00C801B7" w:rsidP="003D4A99">
            <w:pPr>
              <w:spacing w:before="100" w:beforeAutospacing="1" w:after="100" w:afterAutospacing="1" w:line="228" w:lineRule="auto"/>
              <w:rPr>
                <w:rFonts w:cs="Arial"/>
                <w:color w:val="auto"/>
                <w:sz w:val="20"/>
                <w:lang w:eastAsia="tr-TR"/>
              </w:rPr>
            </w:pPr>
            <w:r w:rsidRPr="00C801B7">
              <w:rPr>
                <w:rFonts w:cs="Arial"/>
                <w:color w:val="auto"/>
                <w:sz w:val="20"/>
                <w:lang w:eastAsia="tr-TR"/>
              </w:rPr>
              <w:t>Genel Müdür Vekili</w:t>
            </w:r>
            <w:r w:rsidR="00D73480">
              <w:rPr>
                <w:rFonts w:cs="Arial"/>
                <w:color w:val="auto"/>
                <w:sz w:val="20"/>
                <w:lang w:eastAsia="tr-TR"/>
              </w:rPr>
              <w:t xml:space="preserve"> – Genel Müdür Yardımcısı</w:t>
            </w:r>
            <w:r w:rsidR="003D4A99">
              <w:rPr>
                <w:rFonts w:cs="Arial"/>
                <w:color w:val="auto"/>
                <w:sz w:val="20"/>
                <w:lang w:eastAsia="tr-TR"/>
              </w:rPr>
              <w:t xml:space="preserve"> - </w:t>
            </w:r>
            <w:r w:rsidRPr="00C801B7">
              <w:rPr>
                <w:rFonts w:cs="Arial"/>
                <w:color w:val="auto"/>
                <w:sz w:val="20"/>
                <w:lang w:eastAsia="tr-TR"/>
              </w:rPr>
              <w:t>Kredi Tahsis</w:t>
            </w:r>
            <w:r w:rsidR="003D4A99">
              <w:rPr>
                <w:rFonts w:cs="Arial"/>
                <w:color w:val="auto"/>
                <w:sz w:val="20"/>
                <w:lang w:eastAsia="tr-TR"/>
              </w:rPr>
              <w:t xml:space="preserve"> Bölümü</w:t>
            </w:r>
            <w:r w:rsidRPr="00C801B7">
              <w:rPr>
                <w:rFonts w:cs="Arial"/>
                <w:color w:val="auto"/>
                <w:sz w:val="20"/>
                <w:lang w:eastAsia="tr-TR"/>
              </w:rPr>
              <w:t>, Hukuk</w:t>
            </w:r>
            <w:r w:rsidR="003D4A99">
              <w:rPr>
                <w:rFonts w:cs="Arial"/>
                <w:color w:val="auto"/>
                <w:sz w:val="20"/>
                <w:lang w:eastAsia="tr-TR"/>
              </w:rPr>
              <w:t xml:space="preserve"> Müşavirliği Bölümü</w:t>
            </w:r>
            <w:r w:rsidR="00F45496">
              <w:rPr>
                <w:rFonts w:cs="Arial"/>
                <w:color w:val="auto"/>
                <w:sz w:val="20"/>
                <w:lang w:eastAsia="tr-TR"/>
              </w:rPr>
              <w:t>, Operasyonlar Yönetimi Bölümü ve Operasyonlar Merkezi</w:t>
            </w:r>
          </w:p>
        </w:tc>
      </w:tr>
      <w:tr w:rsidR="00C801B7" w:rsidRPr="002F5032" w14:paraId="32893647" w14:textId="77777777" w:rsidTr="004B5B31">
        <w:trPr>
          <w:trHeight w:val="156"/>
        </w:trPr>
        <w:tc>
          <w:tcPr>
            <w:tcW w:w="3402" w:type="dxa"/>
            <w:tcBorders>
              <w:left w:val="nil"/>
              <w:right w:val="nil"/>
            </w:tcBorders>
            <w:shd w:val="clear" w:color="000000" w:fill="FFFFFF"/>
            <w:noWrap/>
          </w:tcPr>
          <w:p w14:paraId="6A5B0860" w14:textId="77777777" w:rsidR="00C801B7" w:rsidRPr="00C21058" w:rsidRDefault="00C801B7" w:rsidP="00C801B7">
            <w:pPr>
              <w:spacing w:before="100" w:beforeAutospacing="1" w:after="100" w:afterAutospacing="1" w:line="228" w:lineRule="auto"/>
              <w:rPr>
                <w:rFonts w:cs="Arial"/>
                <w:color w:val="auto"/>
                <w:sz w:val="20"/>
                <w:highlight w:val="yellow"/>
                <w:lang w:eastAsia="tr-TR"/>
              </w:rPr>
            </w:pPr>
            <w:r w:rsidRPr="00945F44">
              <w:rPr>
                <w:rFonts w:cs="Arial"/>
                <w:color w:val="auto"/>
                <w:sz w:val="20"/>
                <w:lang w:eastAsia="tr-TR"/>
              </w:rPr>
              <w:t>Hüseyin H.İmece</w:t>
            </w:r>
          </w:p>
        </w:tc>
        <w:tc>
          <w:tcPr>
            <w:tcW w:w="5742" w:type="dxa"/>
            <w:tcBorders>
              <w:left w:val="nil"/>
              <w:right w:val="nil"/>
            </w:tcBorders>
            <w:shd w:val="clear" w:color="000000" w:fill="FFFFFF"/>
            <w:noWrap/>
            <w:vAlign w:val="bottom"/>
          </w:tcPr>
          <w:p w14:paraId="415D4768" w14:textId="73B4C34D" w:rsidR="00C801B7" w:rsidRPr="002A7133" w:rsidRDefault="00B06BFA" w:rsidP="00B06BFA">
            <w:pPr>
              <w:spacing w:before="100" w:beforeAutospacing="1" w:after="100" w:afterAutospacing="1" w:line="228" w:lineRule="auto"/>
              <w:rPr>
                <w:rFonts w:cs="Arial"/>
                <w:color w:val="auto"/>
                <w:sz w:val="20"/>
                <w:lang w:eastAsia="tr-TR"/>
              </w:rPr>
            </w:pPr>
            <w:r>
              <w:rPr>
                <w:rFonts w:cs="Arial"/>
                <w:color w:val="auto"/>
                <w:sz w:val="20"/>
                <w:lang w:eastAsia="tr-TR"/>
              </w:rPr>
              <w:t>Genel Müdür Vekili</w:t>
            </w:r>
            <w:r w:rsidR="00D73480">
              <w:rPr>
                <w:rFonts w:cs="Arial"/>
                <w:color w:val="auto"/>
                <w:sz w:val="20"/>
                <w:lang w:eastAsia="tr-TR"/>
              </w:rPr>
              <w:t xml:space="preserve"> – Genel Müdür Yardımcısı</w:t>
            </w:r>
            <w:r w:rsidRPr="00C801B7">
              <w:rPr>
                <w:rFonts w:cs="Arial"/>
                <w:color w:val="auto"/>
                <w:sz w:val="20"/>
                <w:lang w:eastAsia="tr-TR"/>
              </w:rPr>
              <w:t xml:space="preserve"> </w:t>
            </w:r>
            <w:r w:rsidR="00C801B7" w:rsidRPr="00C801B7">
              <w:rPr>
                <w:rFonts w:cs="Arial"/>
                <w:color w:val="auto"/>
                <w:sz w:val="20"/>
                <w:lang w:eastAsia="tr-TR"/>
              </w:rPr>
              <w:t>-</w:t>
            </w:r>
            <w:r>
              <w:rPr>
                <w:rFonts w:cs="Arial"/>
                <w:color w:val="auto"/>
                <w:sz w:val="20"/>
                <w:lang w:eastAsia="tr-TR"/>
              </w:rPr>
              <w:t xml:space="preserve"> </w:t>
            </w:r>
            <w:r w:rsidR="00C801B7" w:rsidRPr="00C801B7">
              <w:rPr>
                <w:rFonts w:cs="Arial"/>
                <w:color w:val="auto"/>
                <w:sz w:val="20"/>
                <w:lang w:eastAsia="tr-TR"/>
              </w:rPr>
              <w:t>Finansal Kontrol ve Muhasebe</w:t>
            </w:r>
            <w:r w:rsidR="00AC0B0D">
              <w:rPr>
                <w:rFonts w:cs="Arial"/>
                <w:color w:val="auto"/>
                <w:sz w:val="20"/>
                <w:lang w:eastAsia="tr-TR"/>
              </w:rPr>
              <w:t xml:space="preserve"> Bölümü</w:t>
            </w:r>
            <w:r w:rsidR="00C801B7" w:rsidRPr="00C801B7">
              <w:rPr>
                <w:rFonts w:cs="Arial"/>
                <w:color w:val="auto"/>
                <w:sz w:val="20"/>
                <w:lang w:eastAsia="tr-TR"/>
              </w:rPr>
              <w:t>, Bilanço Yönetimi</w:t>
            </w:r>
            <w:r w:rsidR="00AC0B0D">
              <w:rPr>
                <w:rFonts w:cs="Arial"/>
                <w:color w:val="auto"/>
                <w:sz w:val="20"/>
                <w:lang w:eastAsia="tr-TR"/>
              </w:rPr>
              <w:t xml:space="preserve"> Bölümü</w:t>
            </w:r>
            <w:r w:rsidR="00C801B7" w:rsidRPr="00C801B7">
              <w:rPr>
                <w:rFonts w:cs="Arial"/>
                <w:color w:val="auto"/>
                <w:sz w:val="20"/>
                <w:lang w:eastAsia="tr-TR"/>
              </w:rPr>
              <w:t>, Ekonomik Araştırmalar Bölümü</w:t>
            </w:r>
          </w:p>
        </w:tc>
      </w:tr>
      <w:tr w:rsidR="00C801B7" w:rsidRPr="002F5032" w14:paraId="0E6A6CF3" w14:textId="77777777" w:rsidTr="004B5B31">
        <w:trPr>
          <w:trHeight w:val="255"/>
        </w:trPr>
        <w:tc>
          <w:tcPr>
            <w:tcW w:w="3402" w:type="dxa"/>
            <w:tcBorders>
              <w:left w:val="nil"/>
              <w:right w:val="nil"/>
            </w:tcBorders>
            <w:shd w:val="clear" w:color="000000" w:fill="FFFFFF"/>
            <w:noWrap/>
          </w:tcPr>
          <w:p w14:paraId="54F3FEEF" w14:textId="77777777" w:rsidR="00C801B7" w:rsidRPr="00C21058" w:rsidRDefault="00C801B7" w:rsidP="00C801B7">
            <w:pPr>
              <w:spacing w:before="100" w:beforeAutospacing="1" w:after="100" w:afterAutospacing="1" w:line="228" w:lineRule="auto"/>
              <w:rPr>
                <w:rFonts w:cs="Arial"/>
                <w:color w:val="auto"/>
                <w:sz w:val="20"/>
                <w:highlight w:val="yellow"/>
                <w:lang w:eastAsia="tr-TR"/>
              </w:rPr>
            </w:pPr>
            <w:r w:rsidRPr="00945F44">
              <w:rPr>
                <w:rFonts w:cs="Arial"/>
                <w:color w:val="auto"/>
                <w:sz w:val="20"/>
                <w:lang w:eastAsia="tr-TR"/>
              </w:rPr>
              <w:t>D.Halit Döver</w:t>
            </w:r>
          </w:p>
        </w:tc>
        <w:tc>
          <w:tcPr>
            <w:tcW w:w="5742" w:type="dxa"/>
            <w:tcBorders>
              <w:left w:val="nil"/>
              <w:right w:val="nil"/>
            </w:tcBorders>
            <w:shd w:val="clear" w:color="000000" w:fill="FFFFFF"/>
            <w:noWrap/>
            <w:vAlign w:val="bottom"/>
          </w:tcPr>
          <w:p w14:paraId="2F87F90E" w14:textId="3D1AEDA4" w:rsidR="00C801B7" w:rsidRPr="00C801B7" w:rsidRDefault="00C801B7" w:rsidP="00F45496">
            <w:pPr>
              <w:spacing w:before="100" w:beforeAutospacing="1" w:after="100" w:afterAutospacing="1" w:line="228" w:lineRule="auto"/>
              <w:rPr>
                <w:rFonts w:cs="Arial"/>
                <w:color w:val="auto"/>
                <w:sz w:val="20"/>
                <w:lang w:eastAsia="tr-TR"/>
              </w:rPr>
            </w:pPr>
            <w:r w:rsidRPr="00C801B7">
              <w:rPr>
                <w:rFonts w:cs="Arial"/>
                <w:color w:val="auto"/>
                <w:sz w:val="20"/>
                <w:lang w:eastAsia="tr-TR"/>
              </w:rPr>
              <w:t>Genel Müdür Yardımcısı</w:t>
            </w:r>
            <w:r w:rsidR="00D73480">
              <w:rPr>
                <w:rFonts w:cs="Arial"/>
                <w:color w:val="auto"/>
                <w:sz w:val="20"/>
                <w:lang w:eastAsia="tr-TR"/>
              </w:rPr>
              <w:t xml:space="preserve"> </w:t>
            </w:r>
            <w:r w:rsidRPr="00C801B7">
              <w:rPr>
                <w:rFonts w:cs="Arial"/>
                <w:color w:val="auto"/>
                <w:sz w:val="20"/>
                <w:lang w:eastAsia="tr-TR"/>
              </w:rPr>
              <w:t>-</w:t>
            </w:r>
            <w:r w:rsidR="00D73480">
              <w:rPr>
                <w:rFonts w:cs="Arial"/>
                <w:color w:val="auto"/>
                <w:sz w:val="20"/>
                <w:lang w:eastAsia="tr-TR"/>
              </w:rPr>
              <w:t xml:space="preserve"> </w:t>
            </w:r>
            <w:r w:rsidRPr="00C801B7">
              <w:rPr>
                <w:rFonts w:cs="Arial"/>
                <w:color w:val="auto"/>
                <w:sz w:val="20"/>
                <w:lang w:eastAsia="tr-TR"/>
              </w:rPr>
              <w:t xml:space="preserve">Uluslararası </w:t>
            </w:r>
            <w:r w:rsidR="00E36DAB">
              <w:rPr>
                <w:rFonts w:cs="Arial"/>
                <w:color w:val="auto"/>
                <w:sz w:val="20"/>
                <w:lang w:eastAsia="tr-TR"/>
              </w:rPr>
              <w:t>İşlemler</w:t>
            </w:r>
            <w:r w:rsidR="00F45496">
              <w:rPr>
                <w:rFonts w:cs="Arial"/>
                <w:color w:val="auto"/>
                <w:sz w:val="20"/>
                <w:lang w:eastAsia="tr-TR"/>
              </w:rPr>
              <w:t xml:space="preserve"> Bölümü</w:t>
            </w:r>
            <w:r w:rsidRPr="00C801B7">
              <w:rPr>
                <w:rFonts w:cs="Arial"/>
                <w:color w:val="auto"/>
                <w:sz w:val="20"/>
                <w:lang w:eastAsia="tr-TR"/>
              </w:rPr>
              <w:t>, Finansal Kurumlar</w:t>
            </w:r>
            <w:r w:rsidR="00F45496">
              <w:rPr>
                <w:rFonts w:cs="Arial"/>
                <w:color w:val="auto"/>
                <w:sz w:val="20"/>
                <w:lang w:eastAsia="tr-TR"/>
              </w:rPr>
              <w:t xml:space="preserve"> Bölümü</w:t>
            </w:r>
            <w:r w:rsidRPr="00C801B7">
              <w:rPr>
                <w:rFonts w:cs="Arial"/>
                <w:color w:val="auto"/>
                <w:sz w:val="20"/>
                <w:lang w:eastAsia="tr-TR"/>
              </w:rPr>
              <w:t>, Finansal Pazarlar</w:t>
            </w:r>
            <w:r w:rsidR="00F45496">
              <w:rPr>
                <w:rFonts w:cs="Arial"/>
                <w:color w:val="auto"/>
                <w:sz w:val="20"/>
                <w:lang w:eastAsia="tr-TR"/>
              </w:rPr>
              <w:t xml:space="preserve"> Bölümü</w:t>
            </w:r>
            <w:r w:rsidRPr="00C801B7">
              <w:rPr>
                <w:rFonts w:cs="Arial"/>
                <w:color w:val="auto"/>
                <w:sz w:val="20"/>
                <w:lang w:eastAsia="tr-TR"/>
              </w:rPr>
              <w:t xml:space="preserve"> ve Kurumsal Bankacılık Bölümü</w:t>
            </w:r>
          </w:p>
        </w:tc>
      </w:tr>
      <w:tr w:rsidR="00C801B7" w:rsidRPr="002F5032" w14:paraId="22E74A81" w14:textId="77777777" w:rsidTr="004B5B31">
        <w:trPr>
          <w:trHeight w:val="255"/>
        </w:trPr>
        <w:tc>
          <w:tcPr>
            <w:tcW w:w="3402" w:type="dxa"/>
            <w:tcBorders>
              <w:left w:val="nil"/>
              <w:bottom w:val="double" w:sz="4" w:space="0" w:color="auto"/>
              <w:right w:val="nil"/>
            </w:tcBorders>
            <w:shd w:val="clear" w:color="000000" w:fill="FFFFFF"/>
            <w:noWrap/>
          </w:tcPr>
          <w:p w14:paraId="4EA28D52" w14:textId="45928E69" w:rsidR="00C801B7" w:rsidRPr="00945F44" w:rsidRDefault="00C801B7" w:rsidP="00C801B7">
            <w:pPr>
              <w:spacing w:before="100" w:beforeAutospacing="1" w:after="100" w:afterAutospacing="1" w:line="228" w:lineRule="auto"/>
              <w:rPr>
                <w:rFonts w:cs="Arial"/>
                <w:color w:val="auto"/>
                <w:sz w:val="20"/>
                <w:lang w:eastAsia="tr-TR"/>
              </w:rPr>
            </w:pPr>
            <w:r w:rsidRPr="00945F44">
              <w:rPr>
                <w:rFonts w:cs="Arial"/>
                <w:color w:val="auto"/>
                <w:sz w:val="20"/>
                <w:lang w:eastAsia="tr-TR"/>
              </w:rPr>
              <w:t>Kadir Karakurum</w:t>
            </w:r>
          </w:p>
        </w:tc>
        <w:tc>
          <w:tcPr>
            <w:tcW w:w="5742" w:type="dxa"/>
            <w:tcBorders>
              <w:left w:val="nil"/>
              <w:bottom w:val="double" w:sz="4" w:space="0" w:color="auto"/>
              <w:right w:val="nil"/>
            </w:tcBorders>
            <w:shd w:val="clear" w:color="000000" w:fill="FFFFFF"/>
            <w:noWrap/>
            <w:vAlign w:val="bottom"/>
          </w:tcPr>
          <w:p w14:paraId="4D146804" w14:textId="2DA4BE02" w:rsidR="00C801B7" w:rsidRPr="00840104" w:rsidRDefault="00B06BFA" w:rsidP="00B06BFA">
            <w:pPr>
              <w:spacing w:before="100" w:beforeAutospacing="1" w:after="100" w:afterAutospacing="1" w:line="228" w:lineRule="auto"/>
              <w:rPr>
                <w:rFonts w:cs="Arial"/>
                <w:color w:val="auto"/>
                <w:sz w:val="20"/>
                <w:lang w:eastAsia="tr-TR"/>
              </w:rPr>
            </w:pPr>
            <w:r>
              <w:rPr>
                <w:rFonts w:cs="Arial"/>
                <w:color w:val="auto"/>
                <w:sz w:val="20"/>
                <w:lang w:eastAsia="tr-TR"/>
              </w:rPr>
              <w:t>Genel Müdür Vekili</w:t>
            </w:r>
            <w:r w:rsidR="00D73480">
              <w:rPr>
                <w:rFonts w:cs="Arial"/>
                <w:color w:val="auto"/>
                <w:sz w:val="20"/>
                <w:lang w:eastAsia="tr-TR"/>
              </w:rPr>
              <w:t xml:space="preserve"> –</w:t>
            </w:r>
            <w:r w:rsidR="005C4518">
              <w:rPr>
                <w:rFonts w:cs="Arial"/>
                <w:color w:val="auto"/>
                <w:sz w:val="20"/>
                <w:lang w:eastAsia="tr-TR"/>
              </w:rPr>
              <w:t xml:space="preserve"> </w:t>
            </w:r>
            <w:r w:rsidR="00D73480">
              <w:rPr>
                <w:rFonts w:cs="Arial"/>
                <w:color w:val="auto"/>
                <w:sz w:val="20"/>
                <w:lang w:eastAsia="tr-TR"/>
              </w:rPr>
              <w:t>Genel Müdür Yardımcısı</w:t>
            </w:r>
            <w:r>
              <w:rPr>
                <w:rFonts w:cs="Arial"/>
                <w:color w:val="auto"/>
                <w:sz w:val="20"/>
                <w:lang w:eastAsia="tr-TR"/>
              </w:rPr>
              <w:t xml:space="preserve"> -</w:t>
            </w:r>
            <w:r w:rsidRPr="00C801B7">
              <w:rPr>
                <w:rFonts w:cs="Arial"/>
                <w:color w:val="auto"/>
                <w:sz w:val="20"/>
                <w:lang w:eastAsia="tr-TR"/>
              </w:rPr>
              <w:t xml:space="preserve"> </w:t>
            </w:r>
            <w:r w:rsidR="00C801B7" w:rsidRPr="00C801B7">
              <w:rPr>
                <w:rFonts w:cs="Arial"/>
                <w:color w:val="auto"/>
                <w:sz w:val="20"/>
                <w:lang w:eastAsia="tr-TR"/>
              </w:rPr>
              <w:t>Dijital Bankacılık</w:t>
            </w:r>
            <w:r w:rsidR="00F45496">
              <w:rPr>
                <w:rFonts w:cs="Arial"/>
                <w:color w:val="auto"/>
                <w:sz w:val="20"/>
                <w:lang w:eastAsia="tr-TR"/>
              </w:rPr>
              <w:t xml:space="preserve"> Bölümü</w:t>
            </w:r>
            <w:r w:rsidR="00C801B7" w:rsidRPr="00C801B7">
              <w:rPr>
                <w:rFonts w:cs="Arial"/>
                <w:color w:val="auto"/>
                <w:sz w:val="20"/>
                <w:lang w:eastAsia="tr-TR"/>
              </w:rPr>
              <w:t>, Finansal Teknoloji</w:t>
            </w:r>
            <w:r w:rsidR="00F45496">
              <w:rPr>
                <w:rFonts w:cs="Arial"/>
                <w:color w:val="auto"/>
                <w:sz w:val="20"/>
                <w:lang w:eastAsia="tr-TR"/>
              </w:rPr>
              <w:t xml:space="preserve"> Bölümü</w:t>
            </w:r>
            <w:r w:rsidR="00C801B7" w:rsidRPr="00C801B7">
              <w:rPr>
                <w:rFonts w:cs="Arial"/>
                <w:color w:val="auto"/>
                <w:sz w:val="20"/>
                <w:lang w:eastAsia="tr-TR"/>
              </w:rPr>
              <w:t>, Teknoloji Merkezi, İdari İşler</w:t>
            </w:r>
            <w:r w:rsidR="00F45496">
              <w:rPr>
                <w:rFonts w:cs="Arial"/>
                <w:color w:val="auto"/>
                <w:sz w:val="20"/>
                <w:lang w:eastAsia="tr-TR"/>
              </w:rPr>
              <w:t xml:space="preserve"> Merkezi</w:t>
            </w:r>
            <w:r w:rsidR="00C801B7" w:rsidRPr="00C801B7">
              <w:rPr>
                <w:rFonts w:cs="Arial"/>
                <w:color w:val="auto"/>
                <w:sz w:val="20"/>
                <w:lang w:eastAsia="tr-TR"/>
              </w:rPr>
              <w:t xml:space="preserve"> ve Yönetim Ofisi Halkla İlişkiler</w:t>
            </w:r>
            <w:r w:rsidR="00743D29">
              <w:rPr>
                <w:rFonts w:cs="Arial"/>
                <w:color w:val="auto"/>
                <w:sz w:val="20"/>
                <w:lang w:eastAsia="tr-TR"/>
              </w:rPr>
              <w:t xml:space="preserve"> ve Reklam</w:t>
            </w:r>
            <w:r w:rsidR="00F45496">
              <w:rPr>
                <w:rFonts w:cs="Arial"/>
                <w:color w:val="auto"/>
                <w:sz w:val="20"/>
                <w:lang w:eastAsia="tr-TR"/>
              </w:rPr>
              <w:t xml:space="preserve"> Bölümü</w:t>
            </w:r>
          </w:p>
        </w:tc>
      </w:tr>
    </w:tbl>
    <w:p w14:paraId="35979001" w14:textId="77777777" w:rsidR="00677D32" w:rsidRDefault="00677D32" w:rsidP="00677D32">
      <w:pPr>
        <w:spacing w:before="120" w:after="120"/>
        <w:ind w:left="142" w:right="-284"/>
        <w:jc w:val="both"/>
        <w:rPr>
          <w:color w:val="333333"/>
          <w:sz w:val="14"/>
          <w:szCs w:val="14"/>
        </w:rPr>
      </w:pPr>
      <w:bookmarkStart w:id="4" w:name="OLE_LINK9"/>
      <w:bookmarkEnd w:id="1"/>
      <w:r w:rsidRPr="0092795B">
        <w:rPr>
          <w:noProof/>
          <w:sz w:val="14"/>
          <w:szCs w:val="14"/>
          <w:vertAlign w:val="superscript"/>
          <w:lang w:eastAsia="tr-TR"/>
        </w:rPr>
        <w:t xml:space="preserve">(*) </w:t>
      </w:r>
      <w:r w:rsidRPr="007D0F9B">
        <w:rPr>
          <w:color w:val="333333"/>
          <w:sz w:val="14"/>
          <w:szCs w:val="14"/>
        </w:rPr>
        <w:t>B</w:t>
      </w:r>
      <w:r>
        <w:rPr>
          <w:color w:val="333333"/>
          <w:sz w:val="14"/>
          <w:szCs w:val="14"/>
        </w:rPr>
        <w:t xml:space="preserve">ankamız Yönetim Kurulu'nun 09 Mayıs </w:t>
      </w:r>
      <w:r w:rsidRPr="007D0F9B">
        <w:rPr>
          <w:color w:val="333333"/>
          <w:sz w:val="14"/>
          <w:szCs w:val="14"/>
        </w:rPr>
        <w:t>2022 tarihli kararı ile;</w:t>
      </w:r>
      <w:r>
        <w:rPr>
          <w:color w:val="333333"/>
          <w:sz w:val="14"/>
          <w:szCs w:val="14"/>
        </w:rPr>
        <w:t xml:space="preserve"> </w:t>
      </w:r>
      <w:r w:rsidRPr="007D0F9B">
        <w:rPr>
          <w:color w:val="333333"/>
          <w:sz w:val="14"/>
          <w:szCs w:val="14"/>
        </w:rPr>
        <w:t xml:space="preserve">Banka'nın Genel Müdür Vekillerinden Sayın Jinhong LI tarafından vakelet edilen Genel Müdürlük görevine, Banka'nın Genel Müdürlük görevine atama yapılana dek, Genel Müdür Vekillerinden Sayın Chunyi ZHENG tarafından vekalet edilmesine karar verilmiştir. </w:t>
      </w:r>
    </w:p>
    <w:p w14:paraId="127C3CB9" w14:textId="77777777" w:rsidR="00677D32" w:rsidRDefault="00677D32" w:rsidP="00677D32">
      <w:pPr>
        <w:spacing w:before="120" w:after="120"/>
        <w:ind w:left="142" w:right="-284"/>
        <w:jc w:val="both"/>
        <w:rPr>
          <w:color w:val="333333"/>
          <w:sz w:val="14"/>
          <w:szCs w:val="14"/>
        </w:rPr>
      </w:pPr>
      <w:r w:rsidRPr="007E775B">
        <w:rPr>
          <w:noProof/>
          <w:sz w:val="14"/>
          <w:szCs w:val="14"/>
          <w:vertAlign w:val="superscript"/>
          <w:lang w:eastAsia="tr-TR"/>
        </w:rPr>
        <w:t xml:space="preserve">(**) </w:t>
      </w:r>
      <w:r w:rsidRPr="007E775B">
        <w:rPr>
          <w:color w:val="333333"/>
          <w:sz w:val="14"/>
          <w:szCs w:val="14"/>
        </w:rPr>
        <w:t>1 Nisan 2022 tarihinden itibaren geçerli olmak üzere Chunyi Zheng Proje ve Corss Border, Perakende Bankacılık, Yönetim Ofisi Genel Sekreterlik, Kredi ve Yatırım Yönetimi, Yatırım Bankacılığı bölümlerinden sorumlu Genel Müdür Yardımcısı olarak atanmıştır</w:t>
      </w:r>
      <w:r>
        <w:rPr>
          <w:color w:val="333333"/>
          <w:sz w:val="14"/>
          <w:szCs w:val="14"/>
        </w:rPr>
        <w:t>.</w:t>
      </w:r>
    </w:p>
    <w:p w14:paraId="3A05EDB0" w14:textId="77777777" w:rsidR="00B9535A" w:rsidRDefault="00B9535A" w:rsidP="00677D32">
      <w:pPr>
        <w:spacing w:after="200" w:line="276" w:lineRule="auto"/>
        <w:ind w:left="142"/>
        <w:rPr>
          <w:b/>
          <w:bCs/>
          <w:color w:val="4F81BD"/>
          <w:sz w:val="28"/>
        </w:rPr>
      </w:pPr>
      <w:r>
        <w:br w:type="page"/>
      </w:r>
    </w:p>
    <w:p w14:paraId="5DDA7A3A" w14:textId="47699F02" w:rsidR="00CA377A" w:rsidRPr="002F5032" w:rsidRDefault="00CA377A" w:rsidP="00AC0288">
      <w:pPr>
        <w:pStyle w:val="Heading1"/>
        <w:spacing w:line="228" w:lineRule="auto"/>
      </w:pPr>
      <w:r w:rsidRPr="002F5032">
        <w:lastRenderedPageBreak/>
        <w:t>İştirakler ve Bağlı Ortaklıklar Hakkında Bilgiler</w:t>
      </w:r>
    </w:p>
    <w:tbl>
      <w:tblPr>
        <w:tblW w:w="9144" w:type="dxa"/>
        <w:tblLayout w:type="fixed"/>
        <w:tblCellMar>
          <w:left w:w="70" w:type="dxa"/>
          <w:right w:w="70" w:type="dxa"/>
        </w:tblCellMar>
        <w:tblLook w:val="04A0" w:firstRow="1" w:lastRow="0" w:firstColumn="1" w:lastColumn="0" w:noHBand="0" w:noVBand="1"/>
      </w:tblPr>
      <w:tblGrid>
        <w:gridCol w:w="1688"/>
        <w:gridCol w:w="4221"/>
        <w:gridCol w:w="2250"/>
        <w:gridCol w:w="985"/>
      </w:tblGrid>
      <w:tr w:rsidR="00CA377A" w:rsidRPr="002F5032" w14:paraId="58EA3F4A" w14:textId="77777777" w:rsidTr="002F1FA1">
        <w:trPr>
          <w:trHeight w:val="310"/>
        </w:trPr>
        <w:tc>
          <w:tcPr>
            <w:tcW w:w="1688" w:type="dxa"/>
            <w:tcBorders>
              <w:top w:val="single" w:sz="4" w:space="0" w:color="auto"/>
              <w:left w:val="nil"/>
              <w:bottom w:val="single" w:sz="4" w:space="0" w:color="auto"/>
              <w:right w:val="nil"/>
            </w:tcBorders>
            <w:shd w:val="clear" w:color="000000" w:fill="FAC090"/>
            <w:noWrap/>
            <w:vAlign w:val="center"/>
            <w:hideMark/>
          </w:tcPr>
          <w:p w14:paraId="218FDCFD" w14:textId="77777777" w:rsidR="00CA377A" w:rsidRPr="002F5032" w:rsidRDefault="00CA377A" w:rsidP="00AC0288">
            <w:pPr>
              <w:spacing w:line="228" w:lineRule="auto"/>
              <w:ind w:left="57"/>
              <w:rPr>
                <w:rFonts w:cs="Arial"/>
                <w:b/>
                <w:bCs/>
                <w:szCs w:val="22"/>
                <w:lang w:eastAsia="tr-TR"/>
              </w:rPr>
            </w:pPr>
            <w:r w:rsidRPr="002F5032">
              <w:rPr>
                <w:rFonts w:cs="Arial"/>
                <w:b/>
                <w:bCs/>
                <w:szCs w:val="22"/>
                <w:lang w:eastAsia="tr-TR"/>
              </w:rPr>
              <w:t>Şirket</w:t>
            </w:r>
          </w:p>
        </w:tc>
        <w:tc>
          <w:tcPr>
            <w:tcW w:w="4221" w:type="dxa"/>
            <w:tcBorders>
              <w:top w:val="single" w:sz="4" w:space="0" w:color="auto"/>
              <w:left w:val="nil"/>
              <w:bottom w:val="single" w:sz="4" w:space="0" w:color="auto"/>
              <w:right w:val="nil"/>
            </w:tcBorders>
            <w:shd w:val="clear" w:color="000000" w:fill="FAC090"/>
            <w:noWrap/>
            <w:vAlign w:val="center"/>
            <w:hideMark/>
          </w:tcPr>
          <w:p w14:paraId="271D8830" w14:textId="77777777" w:rsidR="00CA377A" w:rsidRPr="002F5032" w:rsidRDefault="00CA377A" w:rsidP="00AC0288">
            <w:pPr>
              <w:spacing w:line="228" w:lineRule="auto"/>
              <w:ind w:left="57"/>
              <w:rPr>
                <w:rFonts w:cs="Arial"/>
                <w:b/>
                <w:bCs/>
                <w:szCs w:val="22"/>
                <w:lang w:eastAsia="tr-TR"/>
              </w:rPr>
            </w:pPr>
            <w:r w:rsidRPr="002F5032">
              <w:rPr>
                <w:rFonts w:cs="Arial"/>
                <w:b/>
                <w:bCs/>
                <w:szCs w:val="22"/>
                <w:lang w:eastAsia="tr-TR"/>
              </w:rPr>
              <w:t>Bağlı Ortaklıklar</w:t>
            </w:r>
          </w:p>
        </w:tc>
        <w:tc>
          <w:tcPr>
            <w:tcW w:w="2250" w:type="dxa"/>
            <w:tcBorders>
              <w:top w:val="single" w:sz="4" w:space="0" w:color="auto"/>
              <w:left w:val="nil"/>
              <w:bottom w:val="single" w:sz="4" w:space="0" w:color="auto"/>
              <w:right w:val="nil"/>
            </w:tcBorders>
            <w:shd w:val="clear" w:color="000000" w:fill="FAC090"/>
            <w:noWrap/>
            <w:vAlign w:val="center"/>
            <w:hideMark/>
          </w:tcPr>
          <w:p w14:paraId="32FE6EB5" w14:textId="77777777" w:rsidR="00CA377A" w:rsidRPr="002F5032" w:rsidRDefault="00CA377A" w:rsidP="00AC0288">
            <w:pPr>
              <w:spacing w:line="228" w:lineRule="auto"/>
              <w:ind w:left="57"/>
              <w:rPr>
                <w:rFonts w:cs="Arial"/>
                <w:b/>
                <w:bCs/>
                <w:szCs w:val="22"/>
                <w:lang w:eastAsia="tr-TR"/>
              </w:rPr>
            </w:pPr>
            <w:r w:rsidRPr="002F5032">
              <w:rPr>
                <w:rFonts w:cs="Arial"/>
                <w:b/>
                <w:bCs/>
                <w:szCs w:val="22"/>
                <w:lang w:eastAsia="tr-TR"/>
              </w:rPr>
              <w:t>Faaliyet Konusu</w:t>
            </w:r>
          </w:p>
        </w:tc>
        <w:tc>
          <w:tcPr>
            <w:tcW w:w="985" w:type="dxa"/>
            <w:tcBorders>
              <w:top w:val="single" w:sz="4" w:space="0" w:color="auto"/>
              <w:left w:val="nil"/>
              <w:bottom w:val="single" w:sz="4" w:space="0" w:color="auto"/>
              <w:right w:val="nil"/>
            </w:tcBorders>
            <w:shd w:val="clear" w:color="000000" w:fill="FAC090"/>
            <w:noWrap/>
            <w:vAlign w:val="center"/>
            <w:hideMark/>
          </w:tcPr>
          <w:p w14:paraId="65E9E45A" w14:textId="77777777" w:rsidR="00CA377A" w:rsidRPr="002F5032" w:rsidRDefault="00CA377A" w:rsidP="00AC0288">
            <w:pPr>
              <w:spacing w:line="228" w:lineRule="auto"/>
              <w:ind w:left="57"/>
              <w:rPr>
                <w:rFonts w:cs="Arial"/>
                <w:b/>
                <w:bCs/>
                <w:szCs w:val="22"/>
                <w:lang w:eastAsia="tr-TR"/>
              </w:rPr>
            </w:pPr>
            <w:r w:rsidRPr="002F5032">
              <w:rPr>
                <w:rFonts w:cs="Arial"/>
                <w:b/>
                <w:bCs/>
                <w:szCs w:val="22"/>
                <w:lang w:eastAsia="tr-TR"/>
              </w:rPr>
              <w:t>Pay %</w:t>
            </w:r>
          </w:p>
        </w:tc>
      </w:tr>
      <w:tr w:rsidR="00CA377A" w:rsidRPr="002F5032" w14:paraId="0FE16A6A" w14:textId="77777777" w:rsidTr="00D20F9F">
        <w:trPr>
          <w:trHeight w:val="249"/>
        </w:trPr>
        <w:tc>
          <w:tcPr>
            <w:tcW w:w="1688" w:type="dxa"/>
            <w:tcBorders>
              <w:top w:val="single" w:sz="4" w:space="0" w:color="auto"/>
              <w:left w:val="nil"/>
              <w:bottom w:val="single" w:sz="4" w:space="0" w:color="auto"/>
              <w:right w:val="nil"/>
            </w:tcBorders>
            <w:shd w:val="clear" w:color="000000" w:fill="FFFFFF"/>
            <w:vAlign w:val="center"/>
          </w:tcPr>
          <w:p w14:paraId="2D8AD79F" w14:textId="77777777" w:rsidR="00CA377A" w:rsidRPr="002F5032" w:rsidRDefault="00CA377A" w:rsidP="00AC0288">
            <w:pPr>
              <w:spacing w:line="228" w:lineRule="auto"/>
              <w:rPr>
                <w:rFonts w:cs="Arial"/>
                <w:sz w:val="20"/>
                <w:szCs w:val="20"/>
                <w:lang w:eastAsia="tr-TR"/>
              </w:rPr>
            </w:pPr>
            <w:r w:rsidRPr="002F5032">
              <w:rPr>
                <w:rFonts w:cs="Arial"/>
                <w:sz w:val="20"/>
                <w:szCs w:val="20"/>
                <w:lang w:eastAsia="tr-TR"/>
              </w:rPr>
              <w:t>Finans Sektörü</w:t>
            </w:r>
          </w:p>
        </w:tc>
        <w:tc>
          <w:tcPr>
            <w:tcW w:w="4221" w:type="dxa"/>
            <w:tcBorders>
              <w:top w:val="single" w:sz="4" w:space="0" w:color="auto"/>
              <w:left w:val="nil"/>
              <w:bottom w:val="single" w:sz="4" w:space="0" w:color="auto"/>
              <w:right w:val="nil"/>
            </w:tcBorders>
            <w:shd w:val="clear" w:color="000000" w:fill="FFFFFF"/>
            <w:vAlign w:val="center"/>
          </w:tcPr>
          <w:p w14:paraId="427EAB27" w14:textId="77777777" w:rsidR="00CA377A" w:rsidRPr="002F5032" w:rsidRDefault="00CA377A" w:rsidP="00AC0288">
            <w:pPr>
              <w:spacing w:line="228" w:lineRule="auto"/>
              <w:ind w:left="57"/>
              <w:rPr>
                <w:rFonts w:cs="Arial"/>
                <w:sz w:val="20"/>
                <w:szCs w:val="20"/>
                <w:lang w:eastAsia="tr-TR"/>
              </w:rPr>
            </w:pPr>
            <w:r w:rsidRPr="002F5032">
              <w:rPr>
                <w:rFonts w:cs="Arial"/>
                <w:sz w:val="20"/>
                <w:szCs w:val="20"/>
                <w:lang w:eastAsia="tr-TR"/>
              </w:rPr>
              <w:t>ICBC Turkey</w:t>
            </w:r>
          </w:p>
          <w:p w14:paraId="1078E072" w14:textId="77777777" w:rsidR="00CA377A" w:rsidRPr="002F5032" w:rsidRDefault="00CA377A" w:rsidP="00AC0288">
            <w:pPr>
              <w:spacing w:line="228" w:lineRule="auto"/>
              <w:ind w:left="57"/>
              <w:rPr>
                <w:rFonts w:cs="Arial"/>
                <w:sz w:val="20"/>
                <w:szCs w:val="20"/>
                <w:lang w:eastAsia="tr-TR"/>
              </w:rPr>
            </w:pPr>
            <w:r w:rsidRPr="002F5032">
              <w:rPr>
                <w:rFonts w:cs="Arial"/>
                <w:sz w:val="20"/>
                <w:szCs w:val="20"/>
                <w:lang w:eastAsia="tr-TR"/>
              </w:rPr>
              <w:t>Yatırım Menkul Değerler A.Ş.</w:t>
            </w:r>
          </w:p>
        </w:tc>
        <w:tc>
          <w:tcPr>
            <w:tcW w:w="2250" w:type="dxa"/>
            <w:tcBorders>
              <w:top w:val="single" w:sz="4" w:space="0" w:color="auto"/>
              <w:left w:val="nil"/>
              <w:bottom w:val="single" w:sz="4" w:space="0" w:color="auto"/>
              <w:right w:val="nil"/>
            </w:tcBorders>
            <w:shd w:val="clear" w:color="000000" w:fill="FFFFFF"/>
            <w:vAlign w:val="center"/>
          </w:tcPr>
          <w:p w14:paraId="084730C3" w14:textId="77777777" w:rsidR="00CA377A" w:rsidRPr="002F5032" w:rsidRDefault="00CA377A" w:rsidP="00AC0288">
            <w:pPr>
              <w:spacing w:line="228" w:lineRule="auto"/>
              <w:ind w:left="57"/>
              <w:rPr>
                <w:rFonts w:cs="Arial"/>
                <w:sz w:val="20"/>
                <w:szCs w:val="20"/>
                <w:lang w:eastAsia="tr-TR"/>
              </w:rPr>
            </w:pPr>
            <w:r w:rsidRPr="002F5032">
              <w:rPr>
                <w:rFonts w:cs="Arial"/>
                <w:sz w:val="20"/>
                <w:szCs w:val="20"/>
                <w:lang w:eastAsia="tr-TR"/>
              </w:rPr>
              <w:t>Borsa Aracılık Hizmetleri</w:t>
            </w:r>
          </w:p>
        </w:tc>
        <w:tc>
          <w:tcPr>
            <w:tcW w:w="985" w:type="dxa"/>
            <w:tcBorders>
              <w:top w:val="single" w:sz="4" w:space="0" w:color="auto"/>
              <w:left w:val="nil"/>
              <w:bottom w:val="single" w:sz="4" w:space="0" w:color="auto"/>
              <w:right w:val="nil"/>
            </w:tcBorders>
            <w:shd w:val="clear" w:color="000000" w:fill="FFFFFF"/>
            <w:vAlign w:val="center"/>
          </w:tcPr>
          <w:p w14:paraId="2E2656EC" w14:textId="77777777" w:rsidR="00CA377A" w:rsidRPr="002F5032" w:rsidRDefault="00CA377A" w:rsidP="00AC0288">
            <w:pPr>
              <w:spacing w:line="228" w:lineRule="auto"/>
              <w:ind w:left="35" w:right="-13"/>
              <w:rPr>
                <w:rFonts w:cs="Arial"/>
                <w:sz w:val="20"/>
                <w:szCs w:val="20"/>
                <w:lang w:eastAsia="tr-TR"/>
              </w:rPr>
            </w:pPr>
            <w:r w:rsidRPr="002F5032">
              <w:rPr>
                <w:rFonts w:cs="Arial"/>
                <w:sz w:val="20"/>
                <w:szCs w:val="20"/>
                <w:lang w:eastAsia="tr-TR"/>
              </w:rPr>
              <w:t>99.998</w:t>
            </w:r>
          </w:p>
        </w:tc>
      </w:tr>
    </w:tbl>
    <w:p w14:paraId="55BC0D58" w14:textId="77C4CF29" w:rsidR="00CA377A" w:rsidRDefault="00CA377A" w:rsidP="006121B2">
      <w:pPr>
        <w:pStyle w:val="NormalWeb"/>
        <w:shd w:val="clear" w:color="auto" w:fill="FFFFFF"/>
        <w:spacing w:line="228" w:lineRule="auto"/>
        <w:ind w:right="-426"/>
        <w:jc w:val="both"/>
        <w:rPr>
          <w:szCs w:val="22"/>
        </w:rPr>
      </w:pPr>
      <w:r w:rsidRPr="002F5032">
        <w:rPr>
          <w:szCs w:val="22"/>
        </w:rPr>
        <w:t xml:space="preserve">Tekstil Yatırım Menkul Değerler A.Ş. 1996 yılında İstanbul’da kurulmuştur. Şirket, Sermaye Piyasası Kanunu ve ilgili mevzuat hükümleri kapsamında sermaye piyasası faaliyetleri gerçekleştirmektedir. ICBC Turkey Yatırım, sermaye piyasası ürünlerinde aracılık hizmeti vermekte, farklı risk ve getiri kategorilerindeki yatırım fonları ve portföy yönetimi alternatifleri sunmaktadır. Kurumsal müşterilere, özel sektör tahvili ve finansman bonosu ihraçları ile finansman çözümleri yaratan ICBC Turkey Yatırım, halka arz faaliyetleri ile de yatırımcı ve kurumların buluşmasına zemin hazırlamaktadır. Deneyimli araştırma ekibi ile müşterilerine günlük, haftalık raporlar ve hisse senedi analizleri hizmeti sunan ICBC Turkey Yatırım, </w:t>
      </w:r>
      <w:r w:rsidRPr="000463D4">
        <w:rPr>
          <w:szCs w:val="22"/>
        </w:rPr>
        <w:t>2</w:t>
      </w:r>
      <w:r>
        <w:rPr>
          <w:szCs w:val="22"/>
        </w:rPr>
        <w:t>0</w:t>
      </w:r>
      <w:r w:rsidRPr="000463D4">
        <w:rPr>
          <w:szCs w:val="22"/>
        </w:rPr>
        <w:t xml:space="preserve"> şubesi</w:t>
      </w:r>
      <w:r>
        <w:rPr>
          <w:szCs w:val="22"/>
        </w:rPr>
        <w:t xml:space="preserve"> ile</w:t>
      </w:r>
      <w:r w:rsidRPr="002F5032">
        <w:rPr>
          <w:szCs w:val="22"/>
        </w:rPr>
        <w:t xml:space="preserve"> daha geniş müşteri kitlelerine yardımcı olmaktadır. </w:t>
      </w:r>
    </w:p>
    <w:p w14:paraId="2A2DB143" w14:textId="65D7B46F" w:rsidR="00CA377A" w:rsidRPr="002F5032" w:rsidRDefault="00CA377A" w:rsidP="00AC0288">
      <w:pPr>
        <w:pStyle w:val="Heading1"/>
        <w:spacing w:after="240" w:line="228" w:lineRule="auto"/>
      </w:pPr>
      <w:r w:rsidRPr="002F5032">
        <w:t>Seçilmiş Finansal Göstergeler</w:t>
      </w:r>
    </w:p>
    <w:tbl>
      <w:tblPr>
        <w:tblW w:w="9211" w:type="dxa"/>
        <w:tblCellMar>
          <w:left w:w="70" w:type="dxa"/>
          <w:right w:w="70" w:type="dxa"/>
        </w:tblCellMar>
        <w:tblLook w:val="04A0" w:firstRow="1" w:lastRow="0" w:firstColumn="1" w:lastColumn="0" w:noHBand="0" w:noVBand="1"/>
      </w:tblPr>
      <w:tblGrid>
        <w:gridCol w:w="5787"/>
        <w:gridCol w:w="1311"/>
        <w:gridCol w:w="1311"/>
        <w:gridCol w:w="802"/>
      </w:tblGrid>
      <w:tr w:rsidR="00F16AE0" w:rsidRPr="00DC36F1" w14:paraId="29644822" w14:textId="77777777" w:rsidTr="00F16AE0">
        <w:trPr>
          <w:trHeight w:val="285"/>
        </w:trPr>
        <w:tc>
          <w:tcPr>
            <w:tcW w:w="5787" w:type="dxa"/>
            <w:tcBorders>
              <w:top w:val="single" w:sz="4" w:space="0" w:color="auto"/>
              <w:left w:val="nil"/>
              <w:bottom w:val="single" w:sz="4" w:space="0" w:color="auto"/>
              <w:right w:val="nil"/>
            </w:tcBorders>
            <w:shd w:val="clear" w:color="000000" w:fill="FFCC99"/>
            <w:noWrap/>
            <w:vAlign w:val="bottom"/>
            <w:hideMark/>
          </w:tcPr>
          <w:p w14:paraId="1F0A0A95" w14:textId="77777777" w:rsidR="00F16AE0" w:rsidRPr="00DC36F1" w:rsidRDefault="00F16AE0" w:rsidP="00AC0288">
            <w:pPr>
              <w:spacing w:line="228" w:lineRule="auto"/>
              <w:rPr>
                <w:rFonts w:cs="Arial"/>
                <w:b/>
                <w:bCs/>
                <w:color w:val="auto"/>
                <w:szCs w:val="22"/>
                <w:lang w:eastAsia="tr-TR"/>
              </w:rPr>
            </w:pPr>
            <w:bookmarkStart w:id="5" w:name="OLE_LINK12"/>
            <w:bookmarkEnd w:id="4"/>
            <w:r w:rsidRPr="00DC36F1">
              <w:rPr>
                <w:rFonts w:cs="Arial"/>
                <w:b/>
                <w:bCs/>
                <w:color w:val="auto"/>
                <w:szCs w:val="22"/>
                <w:lang w:eastAsia="tr-TR"/>
              </w:rPr>
              <w:t>Finansal Büyüklükler (Milyon TL)</w:t>
            </w:r>
          </w:p>
        </w:tc>
        <w:tc>
          <w:tcPr>
            <w:tcW w:w="1311" w:type="dxa"/>
            <w:tcBorders>
              <w:top w:val="single" w:sz="4" w:space="0" w:color="auto"/>
              <w:left w:val="nil"/>
              <w:bottom w:val="single" w:sz="4" w:space="0" w:color="auto"/>
              <w:right w:val="nil"/>
            </w:tcBorders>
            <w:shd w:val="clear" w:color="000000" w:fill="FFCC99"/>
            <w:noWrap/>
            <w:vAlign w:val="bottom"/>
            <w:hideMark/>
          </w:tcPr>
          <w:p w14:paraId="5F44AFAC" w14:textId="1C1381DC" w:rsidR="00F16AE0" w:rsidRPr="00DC36F1" w:rsidRDefault="00F16AE0" w:rsidP="00652476">
            <w:pPr>
              <w:spacing w:line="228" w:lineRule="auto"/>
              <w:jc w:val="right"/>
              <w:rPr>
                <w:rFonts w:cs="Arial"/>
                <w:b/>
                <w:bCs/>
                <w:color w:val="auto"/>
                <w:szCs w:val="22"/>
                <w:lang w:eastAsia="tr-TR"/>
              </w:rPr>
            </w:pPr>
            <w:r w:rsidRPr="00DC36F1">
              <w:rPr>
                <w:rFonts w:cs="Arial"/>
                <w:b/>
                <w:bCs/>
                <w:color w:val="auto"/>
                <w:szCs w:val="22"/>
                <w:lang w:eastAsia="tr-TR"/>
              </w:rPr>
              <w:t>31.12.202</w:t>
            </w:r>
            <w:r w:rsidR="00652476">
              <w:rPr>
                <w:rFonts w:cs="Arial"/>
                <w:b/>
                <w:bCs/>
                <w:color w:val="auto"/>
                <w:szCs w:val="22"/>
                <w:lang w:eastAsia="tr-TR"/>
              </w:rPr>
              <w:t>2</w:t>
            </w:r>
          </w:p>
        </w:tc>
        <w:tc>
          <w:tcPr>
            <w:tcW w:w="1311" w:type="dxa"/>
            <w:tcBorders>
              <w:top w:val="single" w:sz="4" w:space="0" w:color="auto"/>
              <w:left w:val="nil"/>
              <w:bottom w:val="single" w:sz="4" w:space="0" w:color="auto"/>
              <w:right w:val="nil"/>
            </w:tcBorders>
            <w:shd w:val="clear" w:color="000000" w:fill="FFCC99"/>
            <w:noWrap/>
            <w:vAlign w:val="bottom"/>
            <w:hideMark/>
          </w:tcPr>
          <w:p w14:paraId="69144681" w14:textId="74EA0878" w:rsidR="00F16AE0" w:rsidRPr="00DC36F1" w:rsidRDefault="00F16AE0" w:rsidP="00652476">
            <w:pPr>
              <w:spacing w:line="228" w:lineRule="auto"/>
              <w:jc w:val="right"/>
              <w:rPr>
                <w:rFonts w:cs="Arial"/>
                <w:b/>
                <w:bCs/>
                <w:color w:val="auto"/>
                <w:szCs w:val="22"/>
                <w:lang w:eastAsia="tr-TR"/>
              </w:rPr>
            </w:pPr>
            <w:r w:rsidRPr="00DC36F1">
              <w:rPr>
                <w:rFonts w:cs="Arial"/>
                <w:b/>
                <w:bCs/>
                <w:color w:val="auto"/>
                <w:szCs w:val="22"/>
                <w:lang w:eastAsia="tr-TR"/>
              </w:rPr>
              <w:t>3</w:t>
            </w:r>
            <w:r w:rsidR="000F7D37">
              <w:rPr>
                <w:rFonts w:cs="Arial"/>
                <w:b/>
                <w:bCs/>
                <w:color w:val="auto"/>
                <w:szCs w:val="22"/>
                <w:lang w:eastAsia="tr-TR"/>
              </w:rPr>
              <w:t>0</w:t>
            </w:r>
            <w:r w:rsidRPr="00DC36F1">
              <w:rPr>
                <w:rFonts w:cs="Arial"/>
                <w:b/>
                <w:bCs/>
                <w:color w:val="auto"/>
                <w:szCs w:val="22"/>
                <w:lang w:eastAsia="tr-TR"/>
              </w:rPr>
              <w:t>.</w:t>
            </w:r>
            <w:r>
              <w:rPr>
                <w:rFonts w:cs="Arial"/>
                <w:b/>
                <w:bCs/>
                <w:color w:val="auto"/>
                <w:szCs w:val="22"/>
                <w:lang w:eastAsia="tr-TR"/>
              </w:rPr>
              <w:t>0</w:t>
            </w:r>
            <w:r w:rsidR="000F7D37">
              <w:rPr>
                <w:rFonts w:cs="Arial"/>
                <w:b/>
                <w:bCs/>
                <w:color w:val="auto"/>
                <w:szCs w:val="22"/>
                <w:lang w:eastAsia="tr-TR"/>
              </w:rPr>
              <w:t>6</w:t>
            </w:r>
            <w:r w:rsidRPr="00DC36F1">
              <w:rPr>
                <w:rFonts w:cs="Arial"/>
                <w:b/>
                <w:bCs/>
                <w:color w:val="auto"/>
                <w:szCs w:val="22"/>
                <w:lang w:eastAsia="tr-TR"/>
              </w:rPr>
              <w:t>.202</w:t>
            </w:r>
            <w:r w:rsidR="00652476">
              <w:rPr>
                <w:rFonts w:cs="Arial"/>
                <w:b/>
                <w:bCs/>
                <w:color w:val="auto"/>
                <w:szCs w:val="22"/>
                <w:lang w:eastAsia="tr-TR"/>
              </w:rPr>
              <w:t>3</w:t>
            </w:r>
          </w:p>
        </w:tc>
        <w:tc>
          <w:tcPr>
            <w:tcW w:w="802" w:type="dxa"/>
            <w:tcBorders>
              <w:top w:val="single" w:sz="4" w:space="0" w:color="auto"/>
              <w:left w:val="nil"/>
              <w:bottom w:val="single" w:sz="4" w:space="0" w:color="auto"/>
              <w:right w:val="nil"/>
            </w:tcBorders>
            <w:shd w:val="clear" w:color="000000" w:fill="FFCC99"/>
            <w:noWrap/>
            <w:vAlign w:val="bottom"/>
            <w:hideMark/>
          </w:tcPr>
          <w:p w14:paraId="49E1A7B7" w14:textId="77777777" w:rsidR="00F16AE0" w:rsidRPr="00DC36F1" w:rsidRDefault="00F16AE0" w:rsidP="00AC0288">
            <w:pPr>
              <w:spacing w:line="228" w:lineRule="auto"/>
              <w:jc w:val="right"/>
              <w:rPr>
                <w:rFonts w:cs="Arial"/>
                <w:b/>
                <w:bCs/>
                <w:color w:val="auto"/>
                <w:szCs w:val="22"/>
                <w:lang w:eastAsia="tr-TR"/>
              </w:rPr>
            </w:pPr>
            <w:r w:rsidRPr="00DC36F1">
              <w:rPr>
                <w:rFonts w:cs="Arial"/>
                <w:b/>
                <w:bCs/>
                <w:color w:val="auto"/>
                <w:szCs w:val="22"/>
                <w:lang w:eastAsia="tr-TR"/>
              </w:rPr>
              <w:t>%</w:t>
            </w:r>
          </w:p>
        </w:tc>
      </w:tr>
      <w:tr w:rsidR="00652476" w:rsidRPr="00DC36F1" w14:paraId="051225EA" w14:textId="77777777" w:rsidTr="00F16AE0">
        <w:trPr>
          <w:trHeight w:val="255"/>
        </w:trPr>
        <w:tc>
          <w:tcPr>
            <w:tcW w:w="5787" w:type="dxa"/>
            <w:tcBorders>
              <w:top w:val="nil"/>
              <w:left w:val="nil"/>
              <w:bottom w:val="nil"/>
              <w:right w:val="nil"/>
            </w:tcBorders>
            <w:shd w:val="clear" w:color="auto" w:fill="auto"/>
            <w:noWrap/>
            <w:vAlign w:val="bottom"/>
            <w:hideMark/>
          </w:tcPr>
          <w:p w14:paraId="072FF8ED" w14:textId="77777777" w:rsidR="00652476" w:rsidRPr="00DC36F1" w:rsidRDefault="00652476" w:rsidP="00652476">
            <w:pPr>
              <w:spacing w:line="228" w:lineRule="auto"/>
              <w:rPr>
                <w:rFonts w:cs="Arial"/>
                <w:color w:val="auto"/>
                <w:sz w:val="20"/>
                <w:szCs w:val="20"/>
                <w:lang w:eastAsia="tr-TR"/>
              </w:rPr>
            </w:pPr>
            <w:r w:rsidRPr="00DC36F1">
              <w:rPr>
                <w:rFonts w:cs="Arial"/>
                <w:color w:val="auto"/>
                <w:sz w:val="20"/>
                <w:szCs w:val="20"/>
                <w:lang w:eastAsia="tr-TR"/>
              </w:rPr>
              <w:t>Toplam Aktifler</w:t>
            </w:r>
          </w:p>
        </w:tc>
        <w:tc>
          <w:tcPr>
            <w:tcW w:w="1311" w:type="dxa"/>
            <w:tcBorders>
              <w:top w:val="nil"/>
              <w:left w:val="nil"/>
              <w:bottom w:val="nil"/>
              <w:right w:val="nil"/>
            </w:tcBorders>
            <w:shd w:val="clear" w:color="auto" w:fill="auto"/>
            <w:noWrap/>
            <w:vAlign w:val="bottom"/>
            <w:hideMark/>
          </w:tcPr>
          <w:p w14:paraId="566D54E4" w14:textId="115E3C13" w:rsidR="00652476" w:rsidRPr="00DC36F1" w:rsidRDefault="00652476" w:rsidP="00652476">
            <w:pPr>
              <w:spacing w:line="228" w:lineRule="auto"/>
              <w:jc w:val="right"/>
              <w:rPr>
                <w:rFonts w:cs="Arial"/>
                <w:sz w:val="20"/>
                <w:szCs w:val="20"/>
                <w:lang w:eastAsia="tr-TR"/>
              </w:rPr>
            </w:pPr>
            <w:r>
              <w:rPr>
                <w:rFonts w:cs="Arial"/>
                <w:sz w:val="20"/>
                <w:szCs w:val="20"/>
                <w:lang w:eastAsia="tr-TR"/>
              </w:rPr>
              <w:t>39,130</w:t>
            </w:r>
          </w:p>
        </w:tc>
        <w:tc>
          <w:tcPr>
            <w:tcW w:w="1311" w:type="dxa"/>
            <w:tcBorders>
              <w:top w:val="nil"/>
              <w:left w:val="nil"/>
              <w:bottom w:val="nil"/>
              <w:right w:val="nil"/>
            </w:tcBorders>
            <w:shd w:val="clear" w:color="auto" w:fill="auto"/>
            <w:noWrap/>
            <w:vAlign w:val="bottom"/>
            <w:hideMark/>
          </w:tcPr>
          <w:p w14:paraId="3B5EA2E5" w14:textId="2F0E2B50" w:rsidR="00652476" w:rsidRPr="00DC36F1" w:rsidRDefault="00652476" w:rsidP="00652476">
            <w:pPr>
              <w:spacing w:line="228" w:lineRule="auto"/>
              <w:jc w:val="right"/>
              <w:rPr>
                <w:rFonts w:cs="Arial"/>
                <w:sz w:val="20"/>
                <w:szCs w:val="20"/>
                <w:lang w:eastAsia="tr-TR"/>
              </w:rPr>
            </w:pPr>
            <w:r>
              <w:rPr>
                <w:rFonts w:cs="Arial"/>
                <w:sz w:val="18"/>
                <w:szCs w:val="18"/>
                <w:lang w:eastAsia="tr-TR"/>
              </w:rPr>
              <w:t>87,779</w:t>
            </w:r>
          </w:p>
        </w:tc>
        <w:tc>
          <w:tcPr>
            <w:tcW w:w="802" w:type="dxa"/>
            <w:tcBorders>
              <w:top w:val="nil"/>
              <w:left w:val="nil"/>
              <w:bottom w:val="nil"/>
              <w:right w:val="nil"/>
            </w:tcBorders>
            <w:shd w:val="clear" w:color="auto" w:fill="auto"/>
            <w:noWrap/>
            <w:vAlign w:val="bottom"/>
            <w:hideMark/>
          </w:tcPr>
          <w:p w14:paraId="389BEC88" w14:textId="57EE6177" w:rsidR="00652476" w:rsidRPr="00DC36F1" w:rsidRDefault="00652476" w:rsidP="00652476">
            <w:pPr>
              <w:spacing w:line="228" w:lineRule="auto"/>
              <w:jc w:val="right"/>
              <w:rPr>
                <w:rFonts w:cs="Arial"/>
                <w:sz w:val="20"/>
                <w:szCs w:val="20"/>
                <w:lang w:eastAsia="tr-TR"/>
              </w:rPr>
            </w:pPr>
            <w:r>
              <w:rPr>
                <w:rFonts w:cs="Arial"/>
                <w:sz w:val="18"/>
                <w:szCs w:val="18"/>
                <w:lang w:eastAsia="tr-TR"/>
              </w:rPr>
              <w:t>%</w:t>
            </w:r>
            <w:r w:rsidRPr="000B326A">
              <w:rPr>
                <w:rFonts w:cs="Arial"/>
                <w:sz w:val="18"/>
                <w:szCs w:val="18"/>
                <w:lang w:eastAsia="tr-TR"/>
              </w:rPr>
              <w:t>28.5</w:t>
            </w:r>
          </w:p>
        </w:tc>
      </w:tr>
      <w:tr w:rsidR="00652476" w:rsidRPr="00DC36F1" w14:paraId="45872691" w14:textId="77777777" w:rsidTr="00F16AE0">
        <w:trPr>
          <w:trHeight w:val="255"/>
        </w:trPr>
        <w:tc>
          <w:tcPr>
            <w:tcW w:w="5787" w:type="dxa"/>
            <w:tcBorders>
              <w:top w:val="nil"/>
              <w:left w:val="nil"/>
              <w:bottom w:val="nil"/>
              <w:right w:val="nil"/>
            </w:tcBorders>
            <w:shd w:val="clear" w:color="auto" w:fill="auto"/>
            <w:noWrap/>
            <w:vAlign w:val="bottom"/>
            <w:hideMark/>
          </w:tcPr>
          <w:p w14:paraId="24452274" w14:textId="77777777" w:rsidR="00652476" w:rsidRPr="00DC36F1" w:rsidRDefault="00652476" w:rsidP="00652476">
            <w:pPr>
              <w:spacing w:line="228" w:lineRule="auto"/>
              <w:rPr>
                <w:rFonts w:cs="Arial"/>
                <w:color w:val="auto"/>
                <w:sz w:val="20"/>
                <w:szCs w:val="20"/>
                <w:lang w:eastAsia="tr-TR"/>
              </w:rPr>
            </w:pPr>
            <w:r w:rsidRPr="00DC36F1">
              <w:rPr>
                <w:rFonts w:cs="Arial"/>
                <w:color w:val="auto"/>
                <w:sz w:val="20"/>
                <w:szCs w:val="20"/>
                <w:lang w:eastAsia="tr-TR"/>
              </w:rPr>
              <w:t>Mevduat (*)</w:t>
            </w:r>
          </w:p>
        </w:tc>
        <w:tc>
          <w:tcPr>
            <w:tcW w:w="1311" w:type="dxa"/>
            <w:tcBorders>
              <w:top w:val="nil"/>
              <w:left w:val="nil"/>
              <w:bottom w:val="nil"/>
              <w:right w:val="nil"/>
            </w:tcBorders>
            <w:shd w:val="clear" w:color="auto" w:fill="auto"/>
            <w:noWrap/>
            <w:vAlign w:val="bottom"/>
            <w:hideMark/>
          </w:tcPr>
          <w:p w14:paraId="0B478892" w14:textId="761319D2" w:rsidR="00652476" w:rsidRPr="00DC36F1" w:rsidRDefault="00652476" w:rsidP="00652476">
            <w:pPr>
              <w:spacing w:line="228" w:lineRule="auto"/>
              <w:jc w:val="right"/>
              <w:rPr>
                <w:rFonts w:cs="Arial"/>
                <w:sz w:val="20"/>
                <w:szCs w:val="20"/>
                <w:lang w:eastAsia="tr-TR"/>
              </w:rPr>
            </w:pPr>
            <w:r w:rsidRPr="00DC36F1">
              <w:rPr>
                <w:rFonts w:cs="Arial"/>
                <w:sz w:val="20"/>
                <w:szCs w:val="20"/>
                <w:lang w:eastAsia="tr-TR"/>
              </w:rPr>
              <w:t>1</w:t>
            </w:r>
            <w:r>
              <w:rPr>
                <w:rFonts w:cs="Arial"/>
                <w:sz w:val="20"/>
                <w:szCs w:val="20"/>
                <w:lang w:eastAsia="tr-TR"/>
              </w:rPr>
              <w:t>6,098</w:t>
            </w:r>
          </w:p>
        </w:tc>
        <w:tc>
          <w:tcPr>
            <w:tcW w:w="1311" w:type="dxa"/>
            <w:tcBorders>
              <w:top w:val="nil"/>
              <w:left w:val="nil"/>
              <w:bottom w:val="nil"/>
              <w:right w:val="nil"/>
            </w:tcBorders>
            <w:shd w:val="clear" w:color="auto" w:fill="auto"/>
            <w:noWrap/>
            <w:vAlign w:val="bottom"/>
            <w:hideMark/>
          </w:tcPr>
          <w:p w14:paraId="524F0701" w14:textId="1F7914DC" w:rsidR="00652476" w:rsidRPr="00DC36F1" w:rsidRDefault="00652476" w:rsidP="00652476">
            <w:pPr>
              <w:spacing w:line="228" w:lineRule="auto"/>
              <w:jc w:val="right"/>
              <w:rPr>
                <w:rFonts w:cs="Arial"/>
                <w:sz w:val="20"/>
                <w:szCs w:val="20"/>
                <w:lang w:eastAsia="tr-TR"/>
              </w:rPr>
            </w:pPr>
            <w:r>
              <w:rPr>
                <w:rFonts w:cs="Arial"/>
                <w:sz w:val="18"/>
                <w:szCs w:val="18"/>
                <w:lang w:eastAsia="tr-TR"/>
              </w:rPr>
              <w:t>31,120</w:t>
            </w:r>
          </w:p>
        </w:tc>
        <w:tc>
          <w:tcPr>
            <w:tcW w:w="802" w:type="dxa"/>
            <w:tcBorders>
              <w:top w:val="nil"/>
              <w:left w:val="nil"/>
              <w:bottom w:val="nil"/>
              <w:right w:val="nil"/>
            </w:tcBorders>
            <w:shd w:val="clear" w:color="auto" w:fill="auto"/>
            <w:noWrap/>
            <w:vAlign w:val="bottom"/>
            <w:hideMark/>
          </w:tcPr>
          <w:p w14:paraId="3CCC9385" w14:textId="6F1E04F1" w:rsidR="00652476" w:rsidRPr="00DC36F1" w:rsidRDefault="00652476" w:rsidP="00652476">
            <w:pPr>
              <w:spacing w:line="228" w:lineRule="auto"/>
              <w:jc w:val="right"/>
              <w:rPr>
                <w:rFonts w:cs="Arial"/>
                <w:sz w:val="20"/>
                <w:szCs w:val="20"/>
                <w:lang w:eastAsia="tr-TR"/>
              </w:rPr>
            </w:pPr>
            <w:r>
              <w:rPr>
                <w:rFonts w:cs="Arial"/>
                <w:sz w:val="18"/>
                <w:szCs w:val="18"/>
                <w:lang w:eastAsia="tr-TR"/>
              </w:rPr>
              <w:t>%</w:t>
            </w:r>
            <w:r w:rsidRPr="000B326A">
              <w:rPr>
                <w:rFonts w:cs="Arial"/>
                <w:sz w:val="18"/>
                <w:szCs w:val="18"/>
                <w:lang w:eastAsia="tr-TR"/>
              </w:rPr>
              <w:t>52.4</w:t>
            </w:r>
          </w:p>
        </w:tc>
      </w:tr>
      <w:tr w:rsidR="00652476" w:rsidRPr="00DC36F1" w14:paraId="0816742C" w14:textId="77777777" w:rsidTr="00F16AE0">
        <w:trPr>
          <w:trHeight w:val="255"/>
        </w:trPr>
        <w:tc>
          <w:tcPr>
            <w:tcW w:w="5787" w:type="dxa"/>
            <w:tcBorders>
              <w:top w:val="nil"/>
              <w:left w:val="nil"/>
              <w:bottom w:val="nil"/>
              <w:right w:val="nil"/>
            </w:tcBorders>
            <w:shd w:val="clear" w:color="auto" w:fill="auto"/>
            <w:noWrap/>
            <w:vAlign w:val="bottom"/>
            <w:hideMark/>
          </w:tcPr>
          <w:p w14:paraId="6CDF5A1F" w14:textId="77777777" w:rsidR="00652476" w:rsidRPr="00DC36F1" w:rsidRDefault="00652476" w:rsidP="00652476">
            <w:pPr>
              <w:spacing w:line="228" w:lineRule="auto"/>
              <w:rPr>
                <w:rFonts w:cs="Arial"/>
                <w:color w:val="auto"/>
                <w:sz w:val="20"/>
                <w:szCs w:val="20"/>
                <w:lang w:eastAsia="tr-TR"/>
              </w:rPr>
            </w:pPr>
            <w:r w:rsidRPr="00DC36F1">
              <w:rPr>
                <w:rFonts w:cs="Arial"/>
                <w:color w:val="auto"/>
                <w:sz w:val="20"/>
                <w:szCs w:val="20"/>
                <w:lang w:eastAsia="tr-TR"/>
              </w:rPr>
              <w:t>Krediler (**)</w:t>
            </w:r>
          </w:p>
        </w:tc>
        <w:tc>
          <w:tcPr>
            <w:tcW w:w="1311" w:type="dxa"/>
            <w:tcBorders>
              <w:top w:val="nil"/>
              <w:left w:val="nil"/>
              <w:bottom w:val="nil"/>
              <w:right w:val="nil"/>
            </w:tcBorders>
            <w:shd w:val="clear" w:color="auto" w:fill="auto"/>
            <w:noWrap/>
            <w:vAlign w:val="bottom"/>
            <w:hideMark/>
          </w:tcPr>
          <w:p w14:paraId="4F91421C" w14:textId="730BC8B1" w:rsidR="00652476" w:rsidRPr="00DC36F1" w:rsidRDefault="00652476" w:rsidP="00652476">
            <w:pPr>
              <w:spacing w:line="228" w:lineRule="auto"/>
              <w:jc w:val="right"/>
              <w:rPr>
                <w:rFonts w:cs="Arial"/>
                <w:sz w:val="20"/>
                <w:szCs w:val="20"/>
                <w:lang w:eastAsia="tr-TR"/>
              </w:rPr>
            </w:pPr>
            <w:r>
              <w:rPr>
                <w:rFonts w:cs="Arial"/>
                <w:sz w:val="20"/>
                <w:szCs w:val="20"/>
                <w:lang w:eastAsia="tr-TR"/>
              </w:rPr>
              <w:t>21,661</w:t>
            </w:r>
          </w:p>
        </w:tc>
        <w:tc>
          <w:tcPr>
            <w:tcW w:w="1311" w:type="dxa"/>
            <w:tcBorders>
              <w:top w:val="nil"/>
              <w:left w:val="nil"/>
              <w:bottom w:val="nil"/>
              <w:right w:val="nil"/>
            </w:tcBorders>
            <w:shd w:val="clear" w:color="auto" w:fill="auto"/>
            <w:noWrap/>
            <w:vAlign w:val="bottom"/>
            <w:hideMark/>
          </w:tcPr>
          <w:p w14:paraId="12A206EA" w14:textId="4AFAAA6C" w:rsidR="00652476" w:rsidRPr="00DC36F1" w:rsidRDefault="00652476" w:rsidP="00652476">
            <w:pPr>
              <w:spacing w:line="228" w:lineRule="auto"/>
              <w:jc w:val="right"/>
              <w:rPr>
                <w:rFonts w:cs="Arial"/>
                <w:sz w:val="20"/>
                <w:szCs w:val="20"/>
                <w:lang w:eastAsia="tr-TR"/>
              </w:rPr>
            </w:pPr>
            <w:r>
              <w:rPr>
                <w:rFonts w:cs="Arial"/>
                <w:sz w:val="18"/>
                <w:szCs w:val="18"/>
                <w:lang w:eastAsia="tr-TR"/>
              </w:rPr>
              <w:t>33,387</w:t>
            </w:r>
          </w:p>
        </w:tc>
        <w:tc>
          <w:tcPr>
            <w:tcW w:w="802" w:type="dxa"/>
            <w:tcBorders>
              <w:top w:val="nil"/>
              <w:left w:val="nil"/>
              <w:bottom w:val="nil"/>
              <w:right w:val="nil"/>
            </w:tcBorders>
            <w:shd w:val="clear" w:color="auto" w:fill="auto"/>
            <w:noWrap/>
            <w:vAlign w:val="bottom"/>
            <w:hideMark/>
          </w:tcPr>
          <w:p w14:paraId="6CEFF135" w14:textId="6DB09546" w:rsidR="00652476" w:rsidRPr="00DC36F1" w:rsidRDefault="00652476" w:rsidP="00652476">
            <w:pPr>
              <w:spacing w:line="228" w:lineRule="auto"/>
              <w:jc w:val="right"/>
              <w:rPr>
                <w:rFonts w:cs="Arial"/>
                <w:sz w:val="20"/>
                <w:szCs w:val="20"/>
                <w:lang w:eastAsia="tr-TR"/>
              </w:rPr>
            </w:pPr>
            <w:r>
              <w:rPr>
                <w:rFonts w:cs="Arial"/>
                <w:sz w:val="18"/>
                <w:szCs w:val="18"/>
                <w:lang w:eastAsia="tr-TR"/>
              </w:rPr>
              <w:t>%</w:t>
            </w:r>
            <w:r w:rsidRPr="000B326A">
              <w:rPr>
                <w:rFonts w:cs="Arial"/>
                <w:sz w:val="18"/>
                <w:szCs w:val="18"/>
                <w:lang w:eastAsia="tr-TR"/>
              </w:rPr>
              <w:t>16.0</w:t>
            </w:r>
          </w:p>
        </w:tc>
      </w:tr>
      <w:tr w:rsidR="00652476" w:rsidRPr="00DC36F1" w14:paraId="139341E0" w14:textId="77777777" w:rsidTr="00F16AE0">
        <w:trPr>
          <w:trHeight w:val="255"/>
        </w:trPr>
        <w:tc>
          <w:tcPr>
            <w:tcW w:w="5787" w:type="dxa"/>
            <w:tcBorders>
              <w:top w:val="nil"/>
              <w:left w:val="nil"/>
              <w:bottom w:val="nil"/>
              <w:right w:val="nil"/>
            </w:tcBorders>
            <w:shd w:val="clear" w:color="auto" w:fill="auto"/>
            <w:noWrap/>
            <w:vAlign w:val="bottom"/>
            <w:hideMark/>
          </w:tcPr>
          <w:p w14:paraId="60736472" w14:textId="77777777" w:rsidR="00652476" w:rsidRPr="00DC36F1" w:rsidRDefault="00652476" w:rsidP="00652476">
            <w:pPr>
              <w:spacing w:line="228" w:lineRule="auto"/>
              <w:rPr>
                <w:rFonts w:cs="Arial"/>
                <w:color w:val="auto"/>
                <w:sz w:val="20"/>
                <w:szCs w:val="20"/>
                <w:lang w:eastAsia="tr-TR"/>
              </w:rPr>
            </w:pPr>
            <w:r w:rsidRPr="00DC36F1">
              <w:rPr>
                <w:rFonts w:cs="Arial"/>
                <w:color w:val="auto"/>
                <w:sz w:val="20"/>
                <w:szCs w:val="20"/>
                <w:lang w:eastAsia="tr-TR"/>
              </w:rPr>
              <w:t>Özkaynak</w:t>
            </w:r>
          </w:p>
        </w:tc>
        <w:tc>
          <w:tcPr>
            <w:tcW w:w="1311" w:type="dxa"/>
            <w:tcBorders>
              <w:top w:val="nil"/>
              <w:left w:val="nil"/>
              <w:bottom w:val="nil"/>
              <w:right w:val="nil"/>
            </w:tcBorders>
            <w:shd w:val="clear" w:color="auto" w:fill="auto"/>
            <w:noWrap/>
            <w:vAlign w:val="bottom"/>
            <w:hideMark/>
          </w:tcPr>
          <w:p w14:paraId="45E1468D" w14:textId="382CD325" w:rsidR="00652476" w:rsidRPr="00DC36F1" w:rsidRDefault="00652476" w:rsidP="00652476">
            <w:pPr>
              <w:spacing w:line="228" w:lineRule="auto"/>
              <w:jc w:val="right"/>
              <w:rPr>
                <w:rFonts w:cs="Arial"/>
                <w:sz w:val="20"/>
                <w:szCs w:val="20"/>
                <w:lang w:eastAsia="tr-TR"/>
              </w:rPr>
            </w:pPr>
            <w:r>
              <w:rPr>
                <w:rFonts w:cs="Arial"/>
                <w:sz w:val="20"/>
                <w:szCs w:val="20"/>
                <w:lang w:eastAsia="tr-TR"/>
              </w:rPr>
              <w:t>1,449</w:t>
            </w:r>
          </w:p>
        </w:tc>
        <w:tc>
          <w:tcPr>
            <w:tcW w:w="1311" w:type="dxa"/>
            <w:tcBorders>
              <w:top w:val="nil"/>
              <w:left w:val="nil"/>
              <w:bottom w:val="nil"/>
              <w:right w:val="nil"/>
            </w:tcBorders>
            <w:shd w:val="clear" w:color="auto" w:fill="auto"/>
            <w:noWrap/>
            <w:vAlign w:val="bottom"/>
            <w:hideMark/>
          </w:tcPr>
          <w:p w14:paraId="6E5C6098" w14:textId="065236F4" w:rsidR="00652476" w:rsidRPr="00DC36F1" w:rsidRDefault="00652476" w:rsidP="00652476">
            <w:pPr>
              <w:spacing w:line="228" w:lineRule="auto"/>
              <w:jc w:val="right"/>
              <w:rPr>
                <w:rFonts w:cs="Arial"/>
                <w:sz w:val="20"/>
                <w:szCs w:val="20"/>
                <w:lang w:eastAsia="tr-TR"/>
              </w:rPr>
            </w:pPr>
            <w:r>
              <w:rPr>
                <w:rFonts w:cs="Arial"/>
                <w:sz w:val="18"/>
                <w:szCs w:val="18"/>
                <w:lang w:eastAsia="tr-TR"/>
              </w:rPr>
              <w:t>4,289</w:t>
            </w:r>
          </w:p>
        </w:tc>
        <w:tc>
          <w:tcPr>
            <w:tcW w:w="802" w:type="dxa"/>
            <w:tcBorders>
              <w:top w:val="nil"/>
              <w:left w:val="nil"/>
              <w:bottom w:val="nil"/>
              <w:right w:val="nil"/>
            </w:tcBorders>
            <w:shd w:val="clear" w:color="auto" w:fill="auto"/>
            <w:noWrap/>
            <w:vAlign w:val="bottom"/>
            <w:hideMark/>
          </w:tcPr>
          <w:p w14:paraId="68F28B19" w14:textId="2A5B84DC" w:rsidR="00652476" w:rsidRPr="00DC36F1" w:rsidRDefault="00652476" w:rsidP="00652476">
            <w:pPr>
              <w:spacing w:line="228" w:lineRule="auto"/>
              <w:jc w:val="right"/>
              <w:rPr>
                <w:rFonts w:cs="Arial"/>
                <w:sz w:val="20"/>
                <w:szCs w:val="20"/>
                <w:lang w:eastAsia="tr-TR"/>
              </w:rPr>
            </w:pPr>
            <w:r>
              <w:rPr>
                <w:rFonts w:cs="Arial"/>
                <w:sz w:val="18"/>
                <w:szCs w:val="18"/>
                <w:lang w:eastAsia="tr-TR"/>
              </w:rPr>
              <w:t>%</w:t>
            </w:r>
            <w:r w:rsidRPr="000B326A">
              <w:rPr>
                <w:rFonts w:cs="Arial"/>
                <w:sz w:val="18"/>
                <w:szCs w:val="18"/>
                <w:lang w:eastAsia="tr-TR"/>
              </w:rPr>
              <w:t>33.6</w:t>
            </w:r>
          </w:p>
        </w:tc>
      </w:tr>
      <w:tr w:rsidR="00652476" w:rsidRPr="00DC36F1" w14:paraId="349FF695" w14:textId="77777777" w:rsidTr="00F16AE0">
        <w:trPr>
          <w:trHeight w:val="79"/>
        </w:trPr>
        <w:tc>
          <w:tcPr>
            <w:tcW w:w="5787" w:type="dxa"/>
            <w:tcBorders>
              <w:top w:val="nil"/>
              <w:left w:val="nil"/>
              <w:bottom w:val="double" w:sz="6" w:space="0" w:color="auto"/>
              <w:right w:val="nil"/>
            </w:tcBorders>
            <w:shd w:val="clear" w:color="auto" w:fill="auto"/>
            <w:noWrap/>
            <w:vAlign w:val="bottom"/>
            <w:hideMark/>
          </w:tcPr>
          <w:p w14:paraId="1352DDF5" w14:textId="4AEBC3ED" w:rsidR="00652476" w:rsidRPr="00DC36F1" w:rsidRDefault="00652476" w:rsidP="00652476">
            <w:pPr>
              <w:spacing w:line="228" w:lineRule="auto"/>
              <w:rPr>
                <w:rFonts w:cs="Arial"/>
                <w:color w:val="auto"/>
                <w:sz w:val="20"/>
                <w:szCs w:val="20"/>
                <w:lang w:eastAsia="tr-TR"/>
              </w:rPr>
            </w:pPr>
            <w:r w:rsidRPr="00DC36F1">
              <w:rPr>
                <w:rFonts w:cs="Arial"/>
                <w:color w:val="auto"/>
                <w:sz w:val="20"/>
                <w:szCs w:val="20"/>
                <w:lang w:eastAsia="tr-TR"/>
              </w:rPr>
              <w:t>Kar (**</w:t>
            </w:r>
            <w:r>
              <w:rPr>
                <w:rFonts w:cs="Arial"/>
                <w:color w:val="auto"/>
                <w:sz w:val="20"/>
                <w:szCs w:val="20"/>
                <w:lang w:eastAsia="tr-TR"/>
              </w:rPr>
              <w:t>*</w:t>
            </w:r>
            <w:r w:rsidRPr="00DC36F1">
              <w:rPr>
                <w:rFonts w:cs="Arial"/>
                <w:color w:val="auto"/>
                <w:sz w:val="20"/>
                <w:szCs w:val="20"/>
                <w:lang w:eastAsia="tr-TR"/>
              </w:rPr>
              <w:t>)</w:t>
            </w:r>
          </w:p>
        </w:tc>
        <w:tc>
          <w:tcPr>
            <w:tcW w:w="1311" w:type="dxa"/>
            <w:tcBorders>
              <w:top w:val="nil"/>
              <w:left w:val="nil"/>
              <w:bottom w:val="double" w:sz="6" w:space="0" w:color="auto"/>
              <w:right w:val="nil"/>
            </w:tcBorders>
            <w:shd w:val="clear" w:color="auto" w:fill="auto"/>
            <w:noWrap/>
            <w:vAlign w:val="bottom"/>
            <w:hideMark/>
          </w:tcPr>
          <w:p w14:paraId="6D19C097" w14:textId="7E384C7D" w:rsidR="00652476" w:rsidRPr="00DC36F1" w:rsidRDefault="00652476" w:rsidP="00652476">
            <w:pPr>
              <w:spacing w:line="228" w:lineRule="auto"/>
              <w:jc w:val="right"/>
              <w:rPr>
                <w:rFonts w:cs="Arial"/>
                <w:sz w:val="20"/>
                <w:szCs w:val="20"/>
                <w:lang w:eastAsia="tr-TR"/>
              </w:rPr>
            </w:pPr>
            <w:r>
              <w:rPr>
                <w:rFonts w:cs="Arial"/>
                <w:sz w:val="20"/>
                <w:szCs w:val="20"/>
                <w:lang w:eastAsia="tr-TR"/>
              </w:rPr>
              <w:t>80,9</w:t>
            </w:r>
            <w:r w:rsidRPr="00DC36F1">
              <w:rPr>
                <w:rFonts w:cs="Arial"/>
                <w:sz w:val="20"/>
                <w:szCs w:val="20"/>
                <w:lang w:eastAsia="tr-TR"/>
              </w:rPr>
              <w:t xml:space="preserve"> </w:t>
            </w:r>
          </w:p>
        </w:tc>
        <w:tc>
          <w:tcPr>
            <w:tcW w:w="1311" w:type="dxa"/>
            <w:tcBorders>
              <w:top w:val="nil"/>
              <w:left w:val="nil"/>
              <w:bottom w:val="double" w:sz="6" w:space="0" w:color="auto"/>
              <w:right w:val="nil"/>
            </w:tcBorders>
            <w:shd w:val="clear" w:color="auto" w:fill="auto"/>
            <w:noWrap/>
            <w:vAlign w:val="bottom"/>
            <w:hideMark/>
          </w:tcPr>
          <w:p w14:paraId="0FFE50BA" w14:textId="4067D454" w:rsidR="00652476" w:rsidRPr="00DC36F1" w:rsidRDefault="00652476" w:rsidP="00652476">
            <w:pPr>
              <w:spacing w:line="228" w:lineRule="auto"/>
              <w:jc w:val="right"/>
              <w:rPr>
                <w:rFonts w:cs="Arial"/>
                <w:sz w:val="20"/>
                <w:szCs w:val="20"/>
                <w:lang w:eastAsia="tr-TR"/>
              </w:rPr>
            </w:pPr>
            <w:r>
              <w:rPr>
                <w:rFonts w:cs="Arial"/>
                <w:sz w:val="18"/>
                <w:szCs w:val="18"/>
                <w:lang w:eastAsia="tr-TR"/>
              </w:rPr>
              <w:t>1,377</w:t>
            </w:r>
            <w:r w:rsidRPr="00E1371D">
              <w:rPr>
                <w:rFonts w:cs="Arial"/>
                <w:sz w:val="18"/>
                <w:szCs w:val="18"/>
                <w:lang w:eastAsia="tr-TR"/>
              </w:rPr>
              <w:t xml:space="preserve"> </w:t>
            </w:r>
          </w:p>
        </w:tc>
        <w:tc>
          <w:tcPr>
            <w:tcW w:w="802" w:type="dxa"/>
            <w:tcBorders>
              <w:top w:val="nil"/>
              <w:left w:val="nil"/>
              <w:bottom w:val="double" w:sz="6" w:space="0" w:color="auto"/>
              <w:right w:val="nil"/>
            </w:tcBorders>
            <w:shd w:val="clear" w:color="auto" w:fill="auto"/>
            <w:noWrap/>
            <w:vAlign w:val="bottom"/>
            <w:hideMark/>
          </w:tcPr>
          <w:p w14:paraId="2A6BAA64" w14:textId="1404AB17" w:rsidR="00652476" w:rsidRPr="00DC36F1" w:rsidRDefault="00652476" w:rsidP="00652476">
            <w:pPr>
              <w:spacing w:line="228" w:lineRule="auto"/>
              <w:jc w:val="right"/>
              <w:rPr>
                <w:rFonts w:cs="Arial"/>
                <w:sz w:val="20"/>
                <w:szCs w:val="20"/>
                <w:lang w:eastAsia="tr-TR"/>
              </w:rPr>
            </w:pPr>
            <w:r>
              <w:rPr>
                <w:rFonts w:cs="Arial"/>
                <w:sz w:val="18"/>
                <w:szCs w:val="18"/>
              </w:rPr>
              <w:t>%</w:t>
            </w:r>
            <w:r w:rsidRPr="000B326A">
              <w:rPr>
                <w:rFonts w:cs="Arial"/>
                <w:sz w:val="18"/>
                <w:szCs w:val="18"/>
              </w:rPr>
              <w:t>432.0</w:t>
            </w:r>
          </w:p>
        </w:tc>
      </w:tr>
      <w:tr w:rsidR="00F16AE0" w:rsidRPr="00DC36F1" w14:paraId="33094A79" w14:textId="77777777" w:rsidTr="00F16AE0">
        <w:trPr>
          <w:trHeight w:val="301"/>
        </w:trPr>
        <w:tc>
          <w:tcPr>
            <w:tcW w:w="5787" w:type="dxa"/>
            <w:tcBorders>
              <w:top w:val="nil"/>
              <w:left w:val="nil"/>
              <w:bottom w:val="nil"/>
              <w:right w:val="nil"/>
            </w:tcBorders>
            <w:shd w:val="clear" w:color="auto" w:fill="auto"/>
            <w:noWrap/>
            <w:vAlign w:val="bottom"/>
            <w:hideMark/>
          </w:tcPr>
          <w:p w14:paraId="77C37EC7" w14:textId="77777777" w:rsidR="00F16AE0" w:rsidRPr="00004876" w:rsidRDefault="00F16AE0" w:rsidP="00AC0288">
            <w:pPr>
              <w:spacing w:line="228" w:lineRule="auto"/>
              <w:rPr>
                <w:rFonts w:cs="Arial"/>
                <w:i/>
                <w:iCs/>
                <w:color w:val="auto"/>
                <w:sz w:val="12"/>
                <w:szCs w:val="12"/>
                <w:lang w:eastAsia="tr-TR"/>
              </w:rPr>
            </w:pPr>
            <w:r w:rsidRPr="00004876">
              <w:rPr>
                <w:rFonts w:cs="Arial"/>
                <w:i/>
                <w:iCs/>
                <w:color w:val="auto"/>
                <w:sz w:val="12"/>
                <w:szCs w:val="12"/>
                <w:lang w:eastAsia="tr-TR"/>
              </w:rPr>
              <w:t>(*) Bankalar mevduatı hariçtir</w:t>
            </w:r>
          </w:p>
        </w:tc>
        <w:tc>
          <w:tcPr>
            <w:tcW w:w="1311" w:type="dxa"/>
            <w:tcBorders>
              <w:top w:val="nil"/>
              <w:left w:val="nil"/>
              <w:bottom w:val="nil"/>
              <w:right w:val="nil"/>
            </w:tcBorders>
            <w:shd w:val="clear" w:color="auto" w:fill="auto"/>
            <w:noWrap/>
            <w:vAlign w:val="bottom"/>
            <w:hideMark/>
          </w:tcPr>
          <w:p w14:paraId="21E39187" w14:textId="77777777" w:rsidR="00F16AE0" w:rsidRPr="00DC36F1" w:rsidRDefault="00F16AE0" w:rsidP="00AC0288">
            <w:pPr>
              <w:spacing w:line="228" w:lineRule="auto"/>
              <w:rPr>
                <w:rFonts w:cs="Arial"/>
                <w:i/>
                <w:iCs/>
                <w:color w:val="auto"/>
                <w:sz w:val="16"/>
                <w:szCs w:val="16"/>
                <w:lang w:eastAsia="tr-TR"/>
              </w:rPr>
            </w:pPr>
          </w:p>
        </w:tc>
        <w:tc>
          <w:tcPr>
            <w:tcW w:w="1311" w:type="dxa"/>
            <w:tcBorders>
              <w:top w:val="nil"/>
              <w:left w:val="nil"/>
              <w:bottom w:val="nil"/>
              <w:right w:val="nil"/>
            </w:tcBorders>
            <w:shd w:val="clear" w:color="auto" w:fill="auto"/>
            <w:noWrap/>
            <w:vAlign w:val="bottom"/>
            <w:hideMark/>
          </w:tcPr>
          <w:p w14:paraId="3252BDFD" w14:textId="77777777" w:rsidR="00F16AE0" w:rsidRPr="00DC36F1" w:rsidRDefault="00F16AE0" w:rsidP="00AC0288">
            <w:pPr>
              <w:spacing w:line="228" w:lineRule="auto"/>
              <w:jc w:val="right"/>
              <w:rPr>
                <w:rFonts w:ascii="Times New Roman" w:hAnsi="Times New Roman"/>
                <w:color w:val="auto"/>
                <w:sz w:val="20"/>
                <w:szCs w:val="20"/>
                <w:lang w:eastAsia="tr-TR"/>
              </w:rPr>
            </w:pPr>
          </w:p>
        </w:tc>
        <w:tc>
          <w:tcPr>
            <w:tcW w:w="802" w:type="dxa"/>
            <w:tcBorders>
              <w:top w:val="nil"/>
              <w:left w:val="nil"/>
              <w:bottom w:val="nil"/>
              <w:right w:val="nil"/>
            </w:tcBorders>
            <w:shd w:val="clear" w:color="auto" w:fill="auto"/>
            <w:noWrap/>
            <w:vAlign w:val="bottom"/>
            <w:hideMark/>
          </w:tcPr>
          <w:p w14:paraId="2B4F5380" w14:textId="77777777" w:rsidR="00F16AE0" w:rsidRPr="00DC36F1" w:rsidRDefault="00F16AE0" w:rsidP="00AC0288">
            <w:pPr>
              <w:spacing w:line="228" w:lineRule="auto"/>
              <w:jc w:val="right"/>
              <w:rPr>
                <w:rFonts w:ascii="Times New Roman" w:hAnsi="Times New Roman"/>
                <w:color w:val="auto"/>
                <w:sz w:val="20"/>
                <w:szCs w:val="20"/>
                <w:lang w:eastAsia="tr-TR"/>
              </w:rPr>
            </w:pPr>
          </w:p>
        </w:tc>
      </w:tr>
      <w:tr w:rsidR="00F16AE0" w:rsidRPr="00DC36F1" w14:paraId="2B35A74F" w14:textId="77777777" w:rsidTr="00F16AE0">
        <w:trPr>
          <w:trHeight w:val="285"/>
        </w:trPr>
        <w:tc>
          <w:tcPr>
            <w:tcW w:w="5787" w:type="dxa"/>
            <w:tcBorders>
              <w:top w:val="nil"/>
              <w:left w:val="nil"/>
              <w:bottom w:val="nil"/>
              <w:right w:val="nil"/>
            </w:tcBorders>
            <w:shd w:val="clear" w:color="auto" w:fill="auto"/>
            <w:noWrap/>
            <w:vAlign w:val="bottom"/>
            <w:hideMark/>
          </w:tcPr>
          <w:p w14:paraId="0F923C4A" w14:textId="4770F560" w:rsidR="00F16AE0" w:rsidRDefault="00F16AE0" w:rsidP="00AC0288">
            <w:pPr>
              <w:spacing w:line="228" w:lineRule="auto"/>
              <w:rPr>
                <w:rFonts w:cs="Arial"/>
                <w:i/>
                <w:iCs/>
                <w:color w:val="auto"/>
                <w:sz w:val="12"/>
                <w:szCs w:val="12"/>
                <w:lang w:eastAsia="tr-TR"/>
              </w:rPr>
            </w:pPr>
            <w:r w:rsidRPr="00004876">
              <w:rPr>
                <w:rFonts w:cs="Arial"/>
                <w:i/>
                <w:iCs/>
                <w:color w:val="auto"/>
                <w:sz w:val="12"/>
                <w:szCs w:val="12"/>
                <w:lang w:eastAsia="tr-TR"/>
              </w:rPr>
              <w:t>(**) Gerçeğe Uygun Değer Farkı Diğer Kapsamlı Gelire Yansıtılan Finansal Varlık olarak sınıflandırılan krediler dahil edilmiştir.</w:t>
            </w:r>
          </w:p>
          <w:p w14:paraId="462A6B4A" w14:textId="1A964C2C" w:rsidR="00F16AE0" w:rsidRPr="00B605A2" w:rsidRDefault="00F16AE0" w:rsidP="00B605A2">
            <w:pPr>
              <w:spacing w:line="228" w:lineRule="auto"/>
              <w:rPr>
                <w:rFonts w:cs="Arial"/>
                <w:i/>
                <w:iCs/>
                <w:color w:val="auto"/>
                <w:sz w:val="12"/>
                <w:szCs w:val="12"/>
                <w:lang w:eastAsia="tr-TR"/>
              </w:rPr>
            </w:pPr>
            <w:r w:rsidRPr="00B605A2">
              <w:rPr>
                <w:rFonts w:cs="Arial"/>
                <w:i/>
                <w:iCs/>
                <w:color w:val="auto"/>
                <w:sz w:val="12"/>
                <w:szCs w:val="12"/>
                <w:lang w:eastAsia="tr-TR"/>
              </w:rPr>
              <w:t>(***) Önceki dönem kar rakamı 3</w:t>
            </w:r>
            <w:r w:rsidR="000F7D37">
              <w:rPr>
                <w:rFonts w:cs="Arial"/>
                <w:i/>
                <w:iCs/>
                <w:color w:val="auto"/>
                <w:sz w:val="12"/>
                <w:szCs w:val="12"/>
                <w:lang w:eastAsia="tr-TR"/>
              </w:rPr>
              <w:t>0</w:t>
            </w:r>
            <w:r>
              <w:rPr>
                <w:rFonts w:cs="Arial"/>
                <w:i/>
                <w:iCs/>
                <w:color w:val="auto"/>
                <w:sz w:val="12"/>
                <w:szCs w:val="12"/>
                <w:lang w:eastAsia="tr-TR"/>
              </w:rPr>
              <w:t xml:space="preserve"> </w:t>
            </w:r>
            <w:r w:rsidR="000F7D37">
              <w:rPr>
                <w:rFonts w:cs="Arial"/>
                <w:i/>
                <w:iCs/>
                <w:color w:val="auto"/>
                <w:sz w:val="12"/>
                <w:szCs w:val="12"/>
                <w:lang w:eastAsia="tr-TR"/>
              </w:rPr>
              <w:t>Haziran</w:t>
            </w:r>
            <w:r>
              <w:rPr>
                <w:rFonts w:cs="Arial"/>
                <w:i/>
                <w:iCs/>
                <w:color w:val="auto"/>
                <w:sz w:val="12"/>
                <w:szCs w:val="12"/>
                <w:lang w:eastAsia="tr-TR"/>
              </w:rPr>
              <w:t xml:space="preserve"> </w:t>
            </w:r>
            <w:r w:rsidRPr="00B605A2">
              <w:rPr>
                <w:rFonts w:cs="Arial"/>
                <w:i/>
                <w:iCs/>
                <w:color w:val="auto"/>
                <w:sz w:val="12"/>
                <w:szCs w:val="12"/>
                <w:lang w:eastAsia="tr-TR"/>
              </w:rPr>
              <w:t>202</w:t>
            </w:r>
            <w:r w:rsidR="00652476">
              <w:rPr>
                <w:rFonts w:cs="Arial"/>
                <w:i/>
                <w:iCs/>
                <w:color w:val="auto"/>
                <w:sz w:val="12"/>
                <w:szCs w:val="12"/>
                <w:lang w:eastAsia="tr-TR"/>
              </w:rPr>
              <w:t>2</w:t>
            </w:r>
            <w:r w:rsidRPr="00B605A2">
              <w:rPr>
                <w:rFonts w:cs="Arial"/>
                <w:i/>
                <w:iCs/>
                <w:color w:val="auto"/>
                <w:sz w:val="12"/>
                <w:szCs w:val="12"/>
                <w:lang w:eastAsia="tr-TR"/>
              </w:rPr>
              <w:t xml:space="preserve"> bakiyesidir.</w:t>
            </w:r>
          </w:p>
          <w:p w14:paraId="53823B51" w14:textId="77777777" w:rsidR="00F16AE0" w:rsidRDefault="00F16AE0" w:rsidP="00AC0288">
            <w:pPr>
              <w:spacing w:line="228" w:lineRule="auto"/>
              <w:rPr>
                <w:rFonts w:cs="Arial"/>
                <w:i/>
                <w:iCs/>
                <w:color w:val="auto"/>
                <w:sz w:val="12"/>
                <w:szCs w:val="12"/>
                <w:lang w:eastAsia="tr-TR"/>
              </w:rPr>
            </w:pPr>
          </w:p>
          <w:p w14:paraId="067AC706" w14:textId="214FDB06" w:rsidR="00F16AE0" w:rsidRPr="00004876" w:rsidRDefault="00F16AE0" w:rsidP="00AC0288">
            <w:pPr>
              <w:spacing w:line="228" w:lineRule="auto"/>
              <w:rPr>
                <w:rFonts w:cs="Arial"/>
                <w:i/>
                <w:iCs/>
                <w:color w:val="auto"/>
                <w:sz w:val="12"/>
                <w:szCs w:val="12"/>
                <w:lang w:eastAsia="tr-TR"/>
              </w:rPr>
            </w:pPr>
          </w:p>
        </w:tc>
        <w:tc>
          <w:tcPr>
            <w:tcW w:w="1311" w:type="dxa"/>
            <w:tcBorders>
              <w:top w:val="nil"/>
              <w:left w:val="nil"/>
              <w:bottom w:val="nil"/>
              <w:right w:val="nil"/>
            </w:tcBorders>
            <w:shd w:val="clear" w:color="000000" w:fill="FFFFFF"/>
            <w:noWrap/>
            <w:vAlign w:val="bottom"/>
            <w:hideMark/>
          </w:tcPr>
          <w:p w14:paraId="2F31D419" w14:textId="77777777" w:rsidR="00F16AE0" w:rsidRPr="00DC36F1" w:rsidRDefault="00F16AE0" w:rsidP="00AC0288">
            <w:pPr>
              <w:spacing w:line="228" w:lineRule="auto"/>
              <w:jc w:val="right"/>
              <w:rPr>
                <w:rFonts w:cs="Arial"/>
                <w:szCs w:val="22"/>
                <w:lang w:eastAsia="tr-TR"/>
              </w:rPr>
            </w:pPr>
            <w:r w:rsidRPr="00DC36F1">
              <w:rPr>
                <w:rFonts w:cs="Arial"/>
                <w:szCs w:val="22"/>
                <w:lang w:eastAsia="tr-TR"/>
              </w:rPr>
              <w:t> </w:t>
            </w:r>
          </w:p>
        </w:tc>
        <w:tc>
          <w:tcPr>
            <w:tcW w:w="1311" w:type="dxa"/>
            <w:tcBorders>
              <w:top w:val="nil"/>
              <w:left w:val="nil"/>
              <w:bottom w:val="nil"/>
              <w:right w:val="nil"/>
            </w:tcBorders>
            <w:shd w:val="clear" w:color="000000" w:fill="FFFFFF"/>
            <w:noWrap/>
            <w:vAlign w:val="bottom"/>
            <w:hideMark/>
          </w:tcPr>
          <w:p w14:paraId="25A28F49" w14:textId="77777777" w:rsidR="00F16AE0" w:rsidRPr="00DC36F1" w:rsidRDefault="00F16AE0" w:rsidP="00AC0288">
            <w:pPr>
              <w:spacing w:line="228" w:lineRule="auto"/>
              <w:jc w:val="right"/>
              <w:rPr>
                <w:rFonts w:cs="Arial"/>
                <w:szCs w:val="22"/>
                <w:lang w:eastAsia="tr-TR"/>
              </w:rPr>
            </w:pPr>
            <w:r w:rsidRPr="00DC36F1">
              <w:rPr>
                <w:rFonts w:cs="Arial"/>
                <w:szCs w:val="22"/>
                <w:lang w:eastAsia="tr-TR"/>
              </w:rPr>
              <w:t> </w:t>
            </w:r>
          </w:p>
        </w:tc>
        <w:tc>
          <w:tcPr>
            <w:tcW w:w="802" w:type="dxa"/>
            <w:tcBorders>
              <w:top w:val="nil"/>
              <w:left w:val="nil"/>
              <w:bottom w:val="nil"/>
              <w:right w:val="nil"/>
            </w:tcBorders>
            <w:shd w:val="clear" w:color="000000" w:fill="FFFFFF"/>
            <w:noWrap/>
            <w:vAlign w:val="bottom"/>
            <w:hideMark/>
          </w:tcPr>
          <w:p w14:paraId="685FB2F1" w14:textId="77777777" w:rsidR="00F16AE0" w:rsidRPr="00DC36F1" w:rsidRDefault="00F16AE0" w:rsidP="00AC0288">
            <w:pPr>
              <w:spacing w:line="228" w:lineRule="auto"/>
              <w:jc w:val="right"/>
              <w:rPr>
                <w:rFonts w:cs="Arial"/>
                <w:szCs w:val="22"/>
                <w:lang w:eastAsia="tr-TR"/>
              </w:rPr>
            </w:pPr>
            <w:r w:rsidRPr="00DC36F1">
              <w:rPr>
                <w:rFonts w:cs="Arial"/>
                <w:szCs w:val="22"/>
                <w:lang w:eastAsia="tr-TR"/>
              </w:rPr>
              <w:t> </w:t>
            </w:r>
          </w:p>
        </w:tc>
      </w:tr>
      <w:tr w:rsidR="00652476" w:rsidRPr="00DC36F1" w14:paraId="1891B563" w14:textId="77777777" w:rsidTr="00F16AE0">
        <w:trPr>
          <w:trHeight w:val="285"/>
        </w:trPr>
        <w:tc>
          <w:tcPr>
            <w:tcW w:w="5787" w:type="dxa"/>
            <w:tcBorders>
              <w:top w:val="single" w:sz="4" w:space="0" w:color="auto"/>
              <w:left w:val="nil"/>
              <w:bottom w:val="single" w:sz="4" w:space="0" w:color="auto"/>
              <w:right w:val="nil"/>
            </w:tcBorders>
            <w:shd w:val="clear" w:color="000000" w:fill="FFCC99"/>
            <w:noWrap/>
            <w:vAlign w:val="bottom"/>
            <w:hideMark/>
          </w:tcPr>
          <w:p w14:paraId="44604236" w14:textId="77777777" w:rsidR="00652476" w:rsidRPr="00DC36F1" w:rsidRDefault="00652476" w:rsidP="00652476">
            <w:pPr>
              <w:rPr>
                <w:rFonts w:cs="Arial"/>
                <w:b/>
                <w:bCs/>
                <w:color w:val="auto"/>
                <w:szCs w:val="22"/>
                <w:lang w:eastAsia="tr-TR"/>
              </w:rPr>
            </w:pPr>
            <w:r w:rsidRPr="00DC36F1">
              <w:rPr>
                <w:rFonts w:cs="Arial"/>
                <w:b/>
                <w:bCs/>
                <w:color w:val="auto"/>
                <w:szCs w:val="22"/>
                <w:lang w:eastAsia="tr-TR"/>
              </w:rPr>
              <w:t>Finansal Rasyolar %</w:t>
            </w:r>
          </w:p>
        </w:tc>
        <w:tc>
          <w:tcPr>
            <w:tcW w:w="1311" w:type="dxa"/>
            <w:tcBorders>
              <w:top w:val="single" w:sz="4" w:space="0" w:color="auto"/>
              <w:left w:val="nil"/>
              <w:bottom w:val="single" w:sz="4" w:space="0" w:color="auto"/>
              <w:right w:val="nil"/>
            </w:tcBorders>
            <w:shd w:val="clear" w:color="000000" w:fill="FFCC99"/>
            <w:noWrap/>
            <w:vAlign w:val="bottom"/>
            <w:hideMark/>
          </w:tcPr>
          <w:p w14:paraId="3BD8FA84" w14:textId="48F2F780" w:rsidR="00652476" w:rsidRPr="00DC36F1" w:rsidRDefault="00652476" w:rsidP="00652476">
            <w:pPr>
              <w:jc w:val="right"/>
              <w:rPr>
                <w:rFonts w:cs="Arial"/>
                <w:b/>
                <w:bCs/>
                <w:color w:val="auto"/>
                <w:szCs w:val="22"/>
                <w:lang w:eastAsia="tr-TR"/>
              </w:rPr>
            </w:pPr>
            <w:r w:rsidRPr="00DC36F1">
              <w:rPr>
                <w:rFonts w:cs="Arial"/>
                <w:b/>
                <w:bCs/>
                <w:color w:val="auto"/>
                <w:szCs w:val="22"/>
                <w:lang w:eastAsia="tr-TR"/>
              </w:rPr>
              <w:t>31.12.202</w:t>
            </w:r>
            <w:r>
              <w:rPr>
                <w:rFonts w:cs="Arial"/>
                <w:b/>
                <w:bCs/>
                <w:color w:val="auto"/>
                <w:szCs w:val="22"/>
                <w:lang w:eastAsia="tr-TR"/>
              </w:rPr>
              <w:t>2</w:t>
            </w:r>
          </w:p>
        </w:tc>
        <w:tc>
          <w:tcPr>
            <w:tcW w:w="1311" w:type="dxa"/>
            <w:tcBorders>
              <w:top w:val="single" w:sz="4" w:space="0" w:color="auto"/>
              <w:left w:val="nil"/>
              <w:bottom w:val="single" w:sz="4" w:space="0" w:color="auto"/>
              <w:right w:val="nil"/>
            </w:tcBorders>
            <w:shd w:val="clear" w:color="000000" w:fill="FFCC99"/>
            <w:noWrap/>
            <w:vAlign w:val="bottom"/>
            <w:hideMark/>
          </w:tcPr>
          <w:p w14:paraId="0E0F7F2F" w14:textId="249BEE58" w:rsidR="00652476" w:rsidRPr="00DC36F1" w:rsidRDefault="00652476" w:rsidP="00652476">
            <w:pPr>
              <w:jc w:val="right"/>
              <w:rPr>
                <w:rFonts w:cs="Arial"/>
                <w:b/>
                <w:bCs/>
                <w:color w:val="auto"/>
                <w:szCs w:val="22"/>
                <w:lang w:eastAsia="tr-TR"/>
              </w:rPr>
            </w:pPr>
            <w:r w:rsidRPr="00DC36F1">
              <w:rPr>
                <w:rFonts w:cs="Arial"/>
                <w:b/>
                <w:bCs/>
                <w:color w:val="auto"/>
                <w:szCs w:val="22"/>
                <w:lang w:eastAsia="tr-TR"/>
              </w:rPr>
              <w:t>3</w:t>
            </w:r>
            <w:r>
              <w:rPr>
                <w:rFonts w:cs="Arial"/>
                <w:b/>
                <w:bCs/>
                <w:color w:val="auto"/>
                <w:szCs w:val="22"/>
                <w:lang w:eastAsia="tr-TR"/>
              </w:rPr>
              <w:t>0</w:t>
            </w:r>
            <w:r w:rsidRPr="00DC36F1">
              <w:rPr>
                <w:rFonts w:cs="Arial"/>
                <w:b/>
                <w:bCs/>
                <w:color w:val="auto"/>
                <w:szCs w:val="22"/>
                <w:lang w:eastAsia="tr-TR"/>
              </w:rPr>
              <w:t>.</w:t>
            </w:r>
            <w:r>
              <w:rPr>
                <w:rFonts w:cs="Arial"/>
                <w:b/>
                <w:bCs/>
                <w:color w:val="auto"/>
                <w:szCs w:val="22"/>
                <w:lang w:eastAsia="tr-TR"/>
              </w:rPr>
              <w:t>06</w:t>
            </w:r>
            <w:r w:rsidRPr="00DC36F1">
              <w:rPr>
                <w:rFonts w:cs="Arial"/>
                <w:b/>
                <w:bCs/>
                <w:color w:val="auto"/>
                <w:szCs w:val="22"/>
                <w:lang w:eastAsia="tr-TR"/>
              </w:rPr>
              <w:t>.202</w:t>
            </w:r>
            <w:r>
              <w:rPr>
                <w:rFonts w:cs="Arial"/>
                <w:b/>
                <w:bCs/>
                <w:color w:val="auto"/>
                <w:szCs w:val="22"/>
                <w:lang w:eastAsia="tr-TR"/>
              </w:rPr>
              <w:t>3</w:t>
            </w:r>
          </w:p>
        </w:tc>
        <w:tc>
          <w:tcPr>
            <w:tcW w:w="802" w:type="dxa"/>
            <w:tcBorders>
              <w:top w:val="single" w:sz="4" w:space="0" w:color="auto"/>
              <w:left w:val="nil"/>
              <w:bottom w:val="single" w:sz="4" w:space="0" w:color="auto"/>
              <w:right w:val="nil"/>
            </w:tcBorders>
            <w:shd w:val="clear" w:color="000000" w:fill="FFCC99"/>
            <w:noWrap/>
            <w:vAlign w:val="bottom"/>
            <w:hideMark/>
          </w:tcPr>
          <w:p w14:paraId="038EF0C4" w14:textId="77777777" w:rsidR="00652476" w:rsidRPr="00DC36F1" w:rsidRDefault="00652476" w:rsidP="00652476">
            <w:pPr>
              <w:jc w:val="right"/>
              <w:rPr>
                <w:rFonts w:cs="Arial"/>
                <w:b/>
                <w:bCs/>
                <w:color w:val="auto"/>
                <w:szCs w:val="22"/>
                <w:lang w:eastAsia="tr-TR"/>
              </w:rPr>
            </w:pPr>
            <w:r w:rsidRPr="00DC36F1">
              <w:rPr>
                <w:rFonts w:cs="Arial"/>
                <w:b/>
                <w:bCs/>
                <w:color w:val="auto"/>
                <w:szCs w:val="22"/>
                <w:lang w:eastAsia="tr-TR"/>
              </w:rPr>
              <w:t>%</w:t>
            </w:r>
          </w:p>
        </w:tc>
      </w:tr>
      <w:tr w:rsidR="00652476" w:rsidRPr="00DC36F1" w14:paraId="762B38F2" w14:textId="77777777" w:rsidTr="00B76E34">
        <w:trPr>
          <w:trHeight w:val="255"/>
        </w:trPr>
        <w:tc>
          <w:tcPr>
            <w:tcW w:w="5787" w:type="dxa"/>
            <w:tcBorders>
              <w:top w:val="nil"/>
              <w:left w:val="nil"/>
              <w:bottom w:val="nil"/>
              <w:right w:val="nil"/>
            </w:tcBorders>
            <w:shd w:val="clear" w:color="000000" w:fill="FFFFFF"/>
            <w:noWrap/>
            <w:vAlign w:val="bottom"/>
            <w:hideMark/>
          </w:tcPr>
          <w:p w14:paraId="28E86484" w14:textId="28F0AC08" w:rsidR="00652476" w:rsidRPr="00DC36F1" w:rsidRDefault="00652476" w:rsidP="00652476">
            <w:pPr>
              <w:rPr>
                <w:rFonts w:cs="Arial"/>
                <w:color w:val="auto"/>
                <w:sz w:val="20"/>
                <w:szCs w:val="20"/>
                <w:lang w:eastAsia="tr-TR"/>
              </w:rPr>
            </w:pPr>
            <w:r w:rsidRPr="00DC36F1">
              <w:rPr>
                <w:rFonts w:cs="Arial"/>
                <w:color w:val="auto"/>
                <w:sz w:val="20"/>
                <w:szCs w:val="20"/>
                <w:lang w:eastAsia="tr-TR"/>
              </w:rPr>
              <w:t>Aktif Karlılığı (*)</w:t>
            </w:r>
          </w:p>
        </w:tc>
        <w:tc>
          <w:tcPr>
            <w:tcW w:w="1311" w:type="dxa"/>
            <w:tcBorders>
              <w:top w:val="nil"/>
              <w:left w:val="nil"/>
              <w:bottom w:val="nil"/>
              <w:right w:val="nil"/>
            </w:tcBorders>
            <w:shd w:val="clear" w:color="auto" w:fill="auto"/>
            <w:noWrap/>
            <w:hideMark/>
          </w:tcPr>
          <w:p w14:paraId="7664F5B7" w14:textId="7122DD0E" w:rsidR="00652476" w:rsidRPr="00DC36F1" w:rsidRDefault="00652476" w:rsidP="00652476">
            <w:pPr>
              <w:jc w:val="right"/>
              <w:rPr>
                <w:rFonts w:cs="Arial"/>
                <w:sz w:val="20"/>
                <w:szCs w:val="20"/>
                <w:lang w:eastAsia="tr-TR"/>
              </w:rPr>
            </w:pPr>
            <w:r w:rsidRPr="00E1371D">
              <w:rPr>
                <w:sz w:val="18"/>
                <w:szCs w:val="18"/>
              </w:rPr>
              <w:t>2.17</w:t>
            </w:r>
          </w:p>
        </w:tc>
        <w:tc>
          <w:tcPr>
            <w:tcW w:w="1311" w:type="dxa"/>
            <w:tcBorders>
              <w:top w:val="nil"/>
              <w:left w:val="nil"/>
              <w:bottom w:val="nil"/>
              <w:right w:val="nil"/>
            </w:tcBorders>
            <w:shd w:val="clear" w:color="auto" w:fill="auto"/>
            <w:noWrap/>
            <w:vAlign w:val="bottom"/>
            <w:hideMark/>
          </w:tcPr>
          <w:p w14:paraId="1A335E8D" w14:textId="730C25F4" w:rsidR="00652476" w:rsidRPr="00DC36F1" w:rsidRDefault="00652476" w:rsidP="00652476">
            <w:pPr>
              <w:jc w:val="right"/>
              <w:rPr>
                <w:rFonts w:cs="Arial"/>
                <w:sz w:val="20"/>
                <w:szCs w:val="20"/>
                <w:lang w:eastAsia="tr-TR"/>
              </w:rPr>
            </w:pPr>
            <w:r w:rsidRPr="00E1371D">
              <w:rPr>
                <w:rFonts w:cs="Arial"/>
                <w:sz w:val="18"/>
                <w:szCs w:val="18"/>
                <w:lang w:eastAsia="tr-TR"/>
              </w:rPr>
              <w:t>1.57</w:t>
            </w:r>
          </w:p>
        </w:tc>
        <w:tc>
          <w:tcPr>
            <w:tcW w:w="802" w:type="dxa"/>
            <w:tcBorders>
              <w:top w:val="nil"/>
              <w:left w:val="nil"/>
              <w:bottom w:val="nil"/>
              <w:right w:val="nil"/>
            </w:tcBorders>
            <w:shd w:val="clear" w:color="auto" w:fill="auto"/>
            <w:noWrap/>
            <w:vAlign w:val="bottom"/>
            <w:hideMark/>
          </w:tcPr>
          <w:p w14:paraId="3FBEFE72" w14:textId="211A2ECF" w:rsidR="00652476" w:rsidRPr="00DC36F1" w:rsidRDefault="00652476" w:rsidP="00652476">
            <w:pPr>
              <w:jc w:val="right"/>
              <w:rPr>
                <w:rFonts w:cs="Arial"/>
                <w:sz w:val="20"/>
                <w:szCs w:val="20"/>
                <w:lang w:eastAsia="tr-TR"/>
              </w:rPr>
            </w:pPr>
            <w:r>
              <w:rPr>
                <w:sz w:val="18"/>
                <w:szCs w:val="18"/>
              </w:rPr>
              <w:t>(</w:t>
            </w:r>
            <w:r w:rsidRPr="00E1371D">
              <w:rPr>
                <w:sz w:val="18"/>
                <w:szCs w:val="18"/>
              </w:rPr>
              <w:t>0.60</w:t>
            </w:r>
            <w:r>
              <w:rPr>
                <w:sz w:val="18"/>
                <w:szCs w:val="18"/>
              </w:rPr>
              <w:t>)</w:t>
            </w:r>
          </w:p>
        </w:tc>
      </w:tr>
      <w:tr w:rsidR="00652476" w:rsidRPr="00DC36F1" w14:paraId="509B57D4" w14:textId="77777777" w:rsidTr="00B76E34">
        <w:trPr>
          <w:trHeight w:val="255"/>
        </w:trPr>
        <w:tc>
          <w:tcPr>
            <w:tcW w:w="5787" w:type="dxa"/>
            <w:tcBorders>
              <w:top w:val="nil"/>
              <w:left w:val="nil"/>
              <w:bottom w:val="nil"/>
              <w:right w:val="nil"/>
            </w:tcBorders>
            <w:shd w:val="clear" w:color="000000" w:fill="FFFFFF"/>
            <w:noWrap/>
            <w:vAlign w:val="bottom"/>
            <w:hideMark/>
          </w:tcPr>
          <w:p w14:paraId="7334A33B" w14:textId="5BB8A239" w:rsidR="00652476" w:rsidRPr="00DC36F1" w:rsidRDefault="00652476" w:rsidP="00652476">
            <w:pPr>
              <w:rPr>
                <w:rFonts w:cs="Arial"/>
                <w:color w:val="auto"/>
                <w:sz w:val="20"/>
                <w:szCs w:val="20"/>
                <w:lang w:eastAsia="tr-TR"/>
              </w:rPr>
            </w:pPr>
            <w:r w:rsidRPr="00DC36F1">
              <w:rPr>
                <w:rFonts w:cs="Arial"/>
                <w:color w:val="auto"/>
                <w:sz w:val="20"/>
                <w:szCs w:val="20"/>
                <w:lang w:eastAsia="tr-TR"/>
              </w:rPr>
              <w:t>Özkaynak Karlılığı(*)</w:t>
            </w:r>
          </w:p>
        </w:tc>
        <w:tc>
          <w:tcPr>
            <w:tcW w:w="1311" w:type="dxa"/>
            <w:tcBorders>
              <w:top w:val="nil"/>
              <w:left w:val="nil"/>
              <w:bottom w:val="nil"/>
              <w:right w:val="nil"/>
            </w:tcBorders>
            <w:shd w:val="clear" w:color="auto" w:fill="auto"/>
            <w:noWrap/>
            <w:hideMark/>
          </w:tcPr>
          <w:p w14:paraId="4567106F" w14:textId="20D2AE37" w:rsidR="00652476" w:rsidRPr="00DC36F1" w:rsidRDefault="00652476" w:rsidP="00652476">
            <w:pPr>
              <w:jc w:val="right"/>
              <w:rPr>
                <w:rFonts w:cs="Arial"/>
                <w:sz w:val="20"/>
                <w:szCs w:val="20"/>
                <w:lang w:eastAsia="tr-TR"/>
              </w:rPr>
            </w:pPr>
            <w:r w:rsidRPr="00E1371D">
              <w:rPr>
                <w:rFonts w:cs="Arial"/>
                <w:sz w:val="18"/>
                <w:szCs w:val="18"/>
                <w:lang w:eastAsia="tr-TR"/>
              </w:rPr>
              <w:t>39.84</w:t>
            </w:r>
          </w:p>
        </w:tc>
        <w:tc>
          <w:tcPr>
            <w:tcW w:w="1311" w:type="dxa"/>
            <w:tcBorders>
              <w:top w:val="nil"/>
              <w:left w:val="nil"/>
              <w:bottom w:val="nil"/>
              <w:right w:val="nil"/>
            </w:tcBorders>
            <w:shd w:val="clear" w:color="auto" w:fill="auto"/>
            <w:noWrap/>
            <w:vAlign w:val="bottom"/>
            <w:hideMark/>
          </w:tcPr>
          <w:p w14:paraId="1DEE51DC" w14:textId="3C0FD61B" w:rsidR="00652476" w:rsidRPr="00DC36F1" w:rsidRDefault="00652476" w:rsidP="00652476">
            <w:pPr>
              <w:jc w:val="right"/>
              <w:rPr>
                <w:rFonts w:cs="Arial"/>
                <w:sz w:val="20"/>
                <w:szCs w:val="20"/>
                <w:lang w:eastAsia="tr-TR"/>
              </w:rPr>
            </w:pPr>
            <w:r w:rsidRPr="00E1371D">
              <w:rPr>
                <w:rFonts w:cs="Arial"/>
                <w:sz w:val="18"/>
                <w:szCs w:val="18"/>
                <w:lang w:eastAsia="tr-TR"/>
              </w:rPr>
              <w:t>32.11</w:t>
            </w:r>
          </w:p>
        </w:tc>
        <w:tc>
          <w:tcPr>
            <w:tcW w:w="802" w:type="dxa"/>
            <w:tcBorders>
              <w:top w:val="nil"/>
              <w:left w:val="nil"/>
              <w:bottom w:val="nil"/>
              <w:right w:val="nil"/>
            </w:tcBorders>
            <w:shd w:val="clear" w:color="auto" w:fill="auto"/>
            <w:noWrap/>
            <w:vAlign w:val="bottom"/>
            <w:hideMark/>
          </w:tcPr>
          <w:p w14:paraId="5AC72F19" w14:textId="7B665D67" w:rsidR="00652476" w:rsidRPr="00DC36F1" w:rsidRDefault="00652476" w:rsidP="00652476">
            <w:pPr>
              <w:jc w:val="right"/>
              <w:rPr>
                <w:rFonts w:cs="Arial"/>
                <w:sz w:val="20"/>
                <w:szCs w:val="20"/>
                <w:lang w:eastAsia="tr-TR"/>
              </w:rPr>
            </w:pPr>
            <w:r>
              <w:rPr>
                <w:rFonts w:cs="Arial"/>
                <w:sz w:val="18"/>
                <w:szCs w:val="18"/>
                <w:lang w:eastAsia="tr-TR"/>
              </w:rPr>
              <w:t>(</w:t>
            </w:r>
            <w:r w:rsidRPr="00E1371D">
              <w:rPr>
                <w:rFonts w:cs="Arial"/>
                <w:sz w:val="18"/>
                <w:szCs w:val="18"/>
                <w:lang w:eastAsia="tr-TR"/>
              </w:rPr>
              <w:t>7.73</w:t>
            </w:r>
            <w:r>
              <w:rPr>
                <w:sz w:val="18"/>
                <w:szCs w:val="18"/>
              </w:rPr>
              <w:t>)</w:t>
            </w:r>
          </w:p>
        </w:tc>
      </w:tr>
      <w:tr w:rsidR="00652476" w:rsidRPr="00DC36F1" w14:paraId="222033C3" w14:textId="77777777" w:rsidTr="00B76E34">
        <w:trPr>
          <w:trHeight w:val="255"/>
        </w:trPr>
        <w:tc>
          <w:tcPr>
            <w:tcW w:w="5787" w:type="dxa"/>
            <w:tcBorders>
              <w:top w:val="nil"/>
              <w:left w:val="nil"/>
              <w:bottom w:val="nil"/>
              <w:right w:val="nil"/>
            </w:tcBorders>
            <w:shd w:val="clear" w:color="000000" w:fill="FFFFFF"/>
            <w:noWrap/>
            <w:vAlign w:val="bottom"/>
            <w:hideMark/>
          </w:tcPr>
          <w:p w14:paraId="72855307" w14:textId="77777777" w:rsidR="00652476" w:rsidRPr="00DC36F1" w:rsidRDefault="00652476" w:rsidP="00652476">
            <w:pPr>
              <w:rPr>
                <w:rFonts w:cs="Arial"/>
                <w:color w:val="auto"/>
                <w:sz w:val="20"/>
                <w:szCs w:val="20"/>
                <w:lang w:eastAsia="tr-TR"/>
              </w:rPr>
            </w:pPr>
            <w:r w:rsidRPr="00DC36F1">
              <w:rPr>
                <w:rFonts w:cs="Arial"/>
                <w:color w:val="auto"/>
                <w:sz w:val="20"/>
                <w:szCs w:val="20"/>
                <w:lang w:eastAsia="tr-TR"/>
              </w:rPr>
              <w:t>Sermaye Yeterlilik Oranı</w:t>
            </w:r>
          </w:p>
        </w:tc>
        <w:tc>
          <w:tcPr>
            <w:tcW w:w="1311" w:type="dxa"/>
            <w:tcBorders>
              <w:top w:val="nil"/>
              <w:left w:val="nil"/>
              <w:bottom w:val="nil"/>
              <w:right w:val="nil"/>
            </w:tcBorders>
            <w:shd w:val="clear" w:color="auto" w:fill="auto"/>
            <w:noWrap/>
            <w:hideMark/>
          </w:tcPr>
          <w:p w14:paraId="7FCF2CC6" w14:textId="349EE8C8" w:rsidR="00652476" w:rsidRPr="00DC36F1" w:rsidRDefault="00652476" w:rsidP="00652476">
            <w:pPr>
              <w:jc w:val="right"/>
              <w:rPr>
                <w:rFonts w:cs="Arial"/>
                <w:sz w:val="20"/>
                <w:szCs w:val="20"/>
                <w:lang w:eastAsia="tr-TR"/>
              </w:rPr>
            </w:pPr>
            <w:r w:rsidRPr="00E1371D">
              <w:rPr>
                <w:rFonts w:cs="Arial"/>
                <w:sz w:val="18"/>
                <w:szCs w:val="18"/>
                <w:lang w:eastAsia="tr-TR"/>
              </w:rPr>
              <w:t>30.02</w:t>
            </w:r>
          </w:p>
        </w:tc>
        <w:tc>
          <w:tcPr>
            <w:tcW w:w="1311" w:type="dxa"/>
            <w:tcBorders>
              <w:top w:val="nil"/>
              <w:left w:val="nil"/>
              <w:bottom w:val="nil"/>
              <w:right w:val="nil"/>
            </w:tcBorders>
            <w:shd w:val="clear" w:color="auto" w:fill="auto"/>
            <w:noWrap/>
            <w:vAlign w:val="bottom"/>
            <w:hideMark/>
          </w:tcPr>
          <w:p w14:paraId="49F5A43C" w14:textId="76FE7A1A" w:rsidR="00652476" w:rsidRPr="00DC36F1" w:rsidRDefault="00652476" w:rsidP="00652476">
            <w:pPr>
              <w:jc w:val="right"/>
              <w:rPr>
                <w:rFonts w:cs="Arial"/>
                <w:sz w:val="20"/>
                <w:szCs w:val="20"/>
                <w:lang w:eastAsia="tr-TR"/>
              </w:rPr>
            </w:pPr>
            <w:r w:rsidRPr="00E1371D">
              <w:rPr>
                <w:rFonts w:cs="Arial"/>
                <w:sz w:val="18"/>
                <w:szCs w:val="18"/>
                <w:lang w:eastAsia="tr-TR"/>
              </w:rPr>
              <w:t>27.6</w:t>
            </w:r>
          </w:p>
        </w:tc>
        <w:tc>
          <w:tcPr>
            <w:tcW w:w="802" w:type="dxa"/>
            <w:tcBorders>
              <w:top w:val="nil"/>
              <w:left w:val="nil"/>
              <w:bottom w:val="nil"/>
              <w:right w:val="nil"/>
            </w:tcBorders>
            <w:shd w:val="clear" w:color="auto" w:fill="auto"/>
            <w:noWrap/>
            <w:vAlign w:val="bottom"/>
            <w:hideMark/>
          </w:tcPr>
          <w:p w14:paraId="6FAA78D2" w14:textId="1C15623C" w:rsidR="00652476" w:rsidRPr="009313CA" w:rsidRDefault="00652476" w:rsidP="00652476">
            <w:pPr>
              <w:jc w:val="right"/>
              <w:rPr>
                <w:rFonts w:cs="Arial"/>
                <w:color w:val="FF0000"/>
                <w:sz w:val="20"/>
                <w:szCs w:val="20"/>
                <w:highlight w:val="yellow"/>
                <w:lang w:eastAsia="tr-TR"/>
              </w:rPr>
            </w:pPr>
            <w:r>
              <w:rPr>
                <w:rFonts w:cs="Arial"/>
                <w:sz w:val="18"/>
                <w:szCs w:val="18"/>
                <w:lang w:eastAsia="tr-TR"/>
              </w:rPr>
              <w:t>(</w:t>
            </w:r>
            <w:r w:rsidRPr="00E1371D">
              <w:rPr>
                <w:rFonts w:cs="Arial"/>
                <w:sz w:val="18"/>
                <w:szCs w:val="18"/>
                <w:lang w:eastAsia="tr-TR"/>
              </w:rPr>
              <w:t>8.06</w:t>
            </w:r>
            <w:r>
              <w:rPr>
                <w:sz w:val="18"/>
                <w:szCs w:val="18"/>
              </w:rPr>
              <w:t>)</w:t>
            </w:r>
          </w:p>
        </w:tc>
      </w:tr>
      <w:tr w:rsidR="00652476" w:rsidRPr="00DC36F1" w14:paraId="1A22BD92" w14:textId="77777777" w:rsidTr="00B76E34">
        <w:trPr>
          <w:trHeight w:val="255"/>
        </w:trPr>
        <w:tc>
          <w:tcPr>
            <w:tcW w:w="5787" w:type="dxa"/>
            <w:tcBorders>
              <w:top w:val="nil"/>
              <w:left w:val="nil"/>
              <w:bottom w:val="nil"/>
              <w:right w:val="nil"/>
            </w:tcBorders>
            <w:shd w:val="clear" w:color="000000" w:fill="FFFFFF"/>
            <w:noWrap/>
            <w:vAlign w:val="bottom"/>
            <w:hideMark/>
          </w:tcPr>
          <w:p w14:paraId="486E9149" w14:textId="73038660" w:rsidR="00652476" w:rsidRPr="00DC36F1" w:rsidRDefault="00652476" w:rsidP="00652476">
            <w:pPr>
              <w:rPr>
                <w:rFonts w:cs="Arial"/>
                <w:color w:val="auto"/>
                <w:sz w:val="20"/>
                <w:szCs w:val="20"/>
                <w:lang w:eastAsia="tr-TR"/>
              </w:rPr>
            </w:pPr>
            <w:r w:rsidRPr="00DC36F1">
              <w:rPr>
                <w:rFonts w:cs="Arial"/>
                <w:color w:val="auto"/>
                <w:sz w:val="20"/>
                <w:szCs w:val="20"/>
                <w:lang w:eastAsia="tr-TR"/>
              </w:rPr>
              <w:t>Krediler/Toplam Aktifler</w:t>
            </w:r>
            <w:r w:rsidRPr="005B2D3C">
              <w:rPr>
                <w:rFonts w:cs="Arial"/>
                <w:i/>
                <w:iCs/>
                <w:color w:val="auto"/>
                <w:sz w:val="12"/>
                <w:szCs w:val="12"/>
                <w:lang w:eastAsia="tr-TR"/>
              </w:rPr>
              <w:t>(</w:t>
            </w:r>
            <w:r>
              <w:rPr>
                <w:rFonts w:cs="Arial"/>
                <w:i/>
                <w:iCs/>
                <w:color w:val="auto"/>
                <w:sz w:val="12"/>
                <w:szCs w:val="12"/>
                <w:lang w:eastAsia="tr-TR"/>
              </w:rPr>
              <w:t>**</w:t>
            </w:r>
            <w:r w:rsidRPr="005B2D3C">
              <w:rPr>
                <w:rFonts w:cs="Arial"/>
                <w:i/>
                <w:iCs/>
                <w:color w:val="auto"/>
                <w:sz w:val="12"/>
                <w:szCs w:val="12"/>
                <w:lang w:eastAsia="tr-TR"/>
              </w:rPr>
              <w:t>)</w:t>
            </w:r>
          </w:p>
        </w:tc>
        <w:tc>
          <w:tcPr>
            <w:tcW w:w="1311" w:type="dxa"/>
            <w:tcBorders>
              <w:top w:val="nil"/>
              <w:left w:val="nil"/>
              <w:bottom w:val="nil"/>
              <w:right w:val="nil"/>
            </w:tcBorders>
            <w:shd w:val="clear" w:color="auto" w:fill="auto"/>
            <w:noWrap/>
            <w:hideMark/>
          </w:tcPr>
          <w:p w14:paraId="54C8885E" w14:textId="0DE0B795" w:rsidR="00652476" w:rsidRPr="00DC36F1" w:rsidRDefault="00652476" w:rsidP="00652476">
            <w:pPr>
              <w:jc w:val="right"/>
              <w:rPr>
                <w:rFonts w:cs="Arial"/>
                <w:sz w:val="20"/>
                <w:szCs w:val="20"/>
                <w:lang w:eastAsia="tr-TR"/>
              </w:rPr>
            </w:pPr>
            <w:r w:rsidRPr="00E1371D">
              <w:rPr>
                <w:rFonts w:cs="Arial"/>
                <w:sz w:val="18"/>
                <w:szCs w:val="18"/>
                <w:lang w:eastAsia="tr-TR"/>
              </w:rPr>
              <w:t>44.36</w:t>
            </w:r>
          </w:p>
        </w:tc>
        <w:tc>
          <w:tcPr>
            <w:tcW w:w="1311" w:type="dxa"/>
            <w:tcBorders>
              <w:top w:val="nil"/>
              <w:left w:val="nil"/>
              <w:bottom w:val="nil"/>
              <w:right w:val="nil"/>
            </w:tcBorders>
            <w:shd w:val="clear" w:color="auto" w:fill="auto"/>
            <w:noWrap/>
            <w:vAlign w:val="bottom"/>
            <w:hideMark/>
          </w:tcPr>
          <w:p w14:paraId="2C2458BD" w14:textId="440D2529" w:rsidR="00652476" w:rsidRPr="00DC36F1" w:rsidRDefault="00652476" w:rsidP="00652476">
            <w:pPr>
              <w:jc w:val="right"/>
              <w:rPr>
                <w:rFonts w:cs="Arial"/>
                <w:sz w:val="20"/>
                <w:szCs w:val="20"/>
                <w:lang w:eastAsia="tr-TR"/>
              </w:rPr>
            </w:pPr>
            <w:r w:rsidRPr="00E1371D">
              <w:rPr>
                <w:rFonts w:cs="Arial"/>
                <w:sz w:val="18"/>
                <w:szCs w:val="18"/>
                <w:lang w:eastAsia="tr-TR"/>
              </w:rPr>
              <w:t>38.03</w:t>
            </w:r>
          </w:p>
        </w:tc>
        <w:tc>
          <w:tcPr>
            <w:tcW w:w="802" w:type="dxa"/>
            <w:tcBorders>
              <w:top w:val="nil"/>
              <w:left w:val="nil"/>
              <w:bottom w:val="nil"/>
              <w:right w:val="nil"/>
            </w:tcBorders>
            <w:shd w:val="clear" w:color="auto" w:fill="auto"/>
            <w:noWrap/>
            <w:vAlign w:val="bottom"/>
            <w:hideMark/>
          </w:tcPr>
          <w:p w14:paraId="096D154B" w14:textId="5D4E335D" w:rsidR="00652476" w:rsidRPr="00DC36F1" w:rsidRDefault="00652476" w:rsidP="00652476">
            <w:pPr>
              <w:jc w:val="right"/>
              <w:rPr>
                <w:rFonts w:cs="Arial"/>
                <w:sz w:val="20"/>
                <w:szCs w:val="20"/>
                <w:lang w:eastAsia="tr-TR"/>
              </w:rPr>
            </w:pPr>
            <w:r>
              <w:rPr>
                <w:rFonts w:cs="Arial"/>
                <w:sz w:val="18"/>
                <w:szCs w:val="18"/>
                <w:lang w:eastAsia="tr-TR"/>
              </w:rPr>
              <w:t>(</w:t>
            </w:r>
            <w:r w:rsidRPr="00E1371D">
              <w:rPr>
                <w:rFonts w:cs="Arial"/>
                <w:sz w:val="18"/>
                <w:szCs w:val="18"/>
                <w:lang w:eastAsia="tr-TR"/>
              </w:rPr>
              <w:t>6.32</w:t>
            </w:r>
            <w:r>
              <w:rPr>
                <w:sz w:val="18"/>
                <w:szCs w:val="18"/>
              </w:rPr>
              <w:t>)</w:t>
            </w:r>
          </w:p>
        </w:tc>
      </w:tr>
      <w:tr w:rsidR="00652476" w:rsidRPr="00DC36F1" w14:paraId="51507FF7" w14:textId="77777777" w:rsidTr="00B76E34">
        <w:trPr>
          <w:trHeight w:val="255"/>
        </w:trPr>
        <w:tc>
          <w:tcPr>
            <w:tcW w:w="5787" w:type="dxa"/>
            <w:tcBorders>
              <w:top w:val="nil"/>
              <w:left w:val="nil"/>
              <w:bottom w:val="nil"/>
              <w:right w:val="nil"/>
            </w:tcBorders>
            <w:shd w:val="clear" w:color="auto" w:fill="auto"/>
            <w:noWrap/>
            <w:vAlign w:val="bottom"/>
            <w:hideMark/>
          </w:tcPr>
          <w:p w14:paraId="41CF58F0" w14:textId="646B6833" w:rsidR="00652476" w:rsidRPr="00DC36F1" w:rsidRDefault="00652476" w:rsidP="00652476">
            <w:pPr>
              <w:rPr>
                <w:rFonts w:cs="Arial"/>
                <w:color w:val="auto"/>
                <w:sz w:val="20"/>
                <w:szCs w:val="20"/>
                <w:lang w:eastAsia="tr-TR"/>
              </w:rPr>
            </w:pPr>
            <w:r w:rsidRPr="00DC36F1">
              <w:rPr>
                <w:rFonts w:cs="Arial"/>
                <w:color w:val="auto"/>
                <w:sz w:val="20"/>
                <w:szCs w:val="20"/>
                <w:lang w:eastAsia="tr-TR"/>
              </w:rPr>
              <w:t>Mevduat/Toplam Aktifler</w:t>
            </w:r>
            <w:r>
              <w:rPr>
                <w:rFonts w:cs="Arial"/>
                <w:i/>
                <w:iCs/>
                <w:color w:val="auto"/>
                <w:sz w:val="12"/>
                <w:szCs w:val="12"/>
                <w:lang w:eastAsia="tr-TR"/>
              </w:rPr>
              <w:t>(***</w:t>
            </w:r>
            <w:r w:rsidRPr="005B2D3C">
              <w:rPr>
                <w:rFonts w:cs="Arial"/>
                <w:i/>
                <w:iCs/>
                <w:color w:val="auto"/>
                <w:sz w:val="12"/>
                <w:szCs w:val="12"/>
                <w:lang w:eastAsia="tr-TR"/>
              </w:rPr>
              <w:t>)</w:t>
            </w:r>
          </w:p>
        </w:tc>
        <w:tc>
          <w:tcPr>
            <w:tcW w:w="1311" w:type="dxa"/>
            <w:tcBorders>
              <w:top w:val="nil"/>
              <w:left w:val="nil"/>
              <w:bottom w:val="nil"/>
              <w:right w:val="nil"/>
            </w:tcBorders>
            <w:shd w:val="clear" w:color="auto" w:fill="auto"/>
            <w:noWrap/>
            <w:hideMark/>
          </w:tcPr>
          <w:p w14:paraId="4A93D34B" w14:textId="7E1675A0" w:rsidR="00652476" w:rsidRPr="00DC36F1" w:rsidRDefault="00652476" w:rsidP="00652476">
            <w:pPr>
              <w:jc w:val="right"/>
              <w:rPr>
                <w:rFonts w:cs="Arial"/>
                <w:sz w:val="20"/>
                <w:szCs w:val="20"/>
                <w:lang w:eastAsia="tr-TR"/>
              </w:rPr>
            </w:pPr>
            <w:r w:rsidRPr="00E1371D">
              <w:rPr>
                <w:rFonts w:cs="Arial"/>
                <w:sz w:val="18"/>
                <w:szCs w:val="18"/>
                <w:lang w:eastAsia="tr-TR"/>
              </w:rPr>
              <w:t>39.98</w:t>
            </w:r>
          </w:p>
        </w:tc>
        <w:tc>
          <w:tcPr>
            <w:tcW w:w="1311" w:type="dxa"/>
            <w:tcBorders>
              <w:top w:val="nil"/>
              <w:left w:val="nil"/>
              <w:bottom w:val="nil"/>
              <w:right w:val="nil"/>
            </w:tcBorders>
            <w:shd w:val="clear" w:color="auto" w:fill="auto"/>
            <w:noWrap/>
            <w:vAlign w:val="bottom"/>
            <w:hideMark/>
          </w:tcPr>
          <w:p w14:paraId="241DB180" w14:textId="00D66BEE" w:rsidR="00652476" w:rsidRPr="00DC36F1" w:rsidRDefault="00652476" w:rsidP="00652476">
            <w:pPr>
              <w:jc w:val="right"/>
              <w:rPr>
                <w:rFonts w:cs="Arial"/>
                <w:sz w:val="20"/>
                <w:szCs w:val="20"/>
                <w:lang w:eastAsia="tr-TR"/>
              </w:rPr>
            </w:pPr>
            <w:r w:rsidRPr="00E1371D">
              <w:rPr>
                <w:rFonts w:cs="Arial"/>
                <w:sz w:val="18"/>
                <w:szCs w:val="18"/>
                <w:lang w:eastAsia="tr-TR"/>
              </w:rPr>
              <w:t>35.45</w:t>
            </w:r>
          </w:p>
        </w:tc>
        <w:tc>
          <w:tcPr>
            <w:tcW w:w="802" w:type="dxa"/>
            <w:tcBorders>
              <w:top w:val="nil"/>
              <w:left w:val="nil"/>
              <w:bottom w:val="nil"/>
              <w:right w:val="nil"/>
            </w:tcBorders>
            <w:shd w:val="clear" w:color="auto" w:fill="auto"/>
            <w:noWrap/>
            <w:vAlign w:val="bottom"/>
            <w:hideMark/>
          </w:tcPr>
          <w:p w14:paraId="222F3965" w14:textId="33F51C5F" w:rsidR="00652476" w:rsidRPr="00DC36F1" w:rsidRDefault="00652476" w:rsidP="00652476">
            <w:pPr>
              <w:jc w:val="right"/>
              <w:rPr>
                <w:rFonts w:cs="Arial"/>
                <w:sz w:val="20"/>
                <w:szCs w:val="20"/>
                <w:lang w:eastAsia="tr-TR"/>
              </w:rPr>
            </w:pPr>
            <w:r>
              <w:rPr>
                <w:rFonts w:cs="Arial"/>
                <w:sz w:val="18"/>
                <w:szCs w:val="18"/>
                <w:lang w:eastAsia="tr-TR"/>
              </w:rPr>
              <w:t>(</w:t>
            </w:r>
            <w:r w:rsidRPr="00E1371D">
              <w:rPr>
                <w:rFonts w:cs="Arial"/>
                <w:sz w:val="18"/>
                <w:szCs w:val="18"/>
                <w:lang w:eastAsia="tr-TR"/>
              </w:rPr>
              <w:t>4.53</w:t>
            </w:r>
            <w:r>
              <w:rPr>
                <w:sz w:val="18"/>
                <w:szCs w:val="18"/>
              </w:rPr>
              <w:t>)</w:t>
            </w:r>
          </w:p>
        </w:tc>
      </w:tr>
      <w:tr w:rsidR="00652476" w:rsidRPr="00DC36F1" w14:paraId="12B5058D" w14:textId="77777777" w:rsidTr="00B76E34">
        <w:trPr>
          <w:trHeight w:val="270"/>
        </w:trPr>
        <w:tc>
          <w:tcPr>
            <w:tcW w:w="5787" w:type="dxa"/>
            <w:tcBorders>
              <w:top w:val="nil"/>
              <w:left w:val="nil"/>
              <w:bottom w:val="double" w:sz="6" w:space="0" w:color="auto"/>
              <w:right w:val="nil"/>
            </w:tcBorders>
            <w:shd w:val="clear" w:color="000000" w:fill="FFFFFF"/>
            <w:noWrap/>
            <w:vAlign w:val="bottom"/>
            <w:hideMark/>
          </w:tcPr>
          <w:p w14:paraId="184A02AC" w14:textId="77777777" w:rsidR="00652476" w:rsidRPr="00DC36F1" w:rsidRDefault="00652476" w:rsidP="00652476">
            <w:pPr>
              <w:rPr>
                <w:rFonts w:cs="Arial"/>
                <w:color w:val="auto"/>
                <w:sz w:val="20"/>
                <w:szCs w:val="20"/>
                <w:lang w:eastAsia="tr-TR"/>
              </w:rPr>
            </w:pPr>
            <w:r w:rsidRPr="00DC36F1">
              <w:rPr>
                <w:rFonts w:cs="Arial"/>
                <w:color w:val="auto"/>
                <w:sz w:val="20"/>
                <w:szCs w:val="20"/>
                <w:lang w:eastAsia="tr-TR"/>
              </w:rPr>
              <w:t>Takipteki Kredi Oranı</w:t>
            </w:r>
          </w:p>
        </w:tc>
        <w:tc>
          <w:tcPr>
            <w:tcW w:w="1311" w:type="dxa"/>
            <w:tcBorders>
              <w:top w:val="nil"/>
              <w:left w:val="nil"/>
              <w:bottom w:val="double" w:sz="6" w:space="0" w:color="auto"/>
              <w:right w:val="nil"/>
            </w:tcBorders>
            <w:shd w:val="clear" w:color="auto" w:fill="auto"/>
            <w:noWrap/>
            <w:hideMark/>
          </w:tcPr>
          <w:p w14:paraId="6A552F16" w14:textId="539303A1" w:rsidR="00652476" w:rsidRPr="00DC36F1" w:rsidRDefault="00652476" w:rsidP="00652476">
            <w:pPr>
              <w:jc w:val="right"/>
              <w:rPr>
                <w:rFonts w:cs="Arial"/>
                <w:sz w:val="20"/>
                <w:szCs w:val="20"/>
                <w:lang w:eastAsia="tr-TR"/>
              </w:rPr>
            </w:pPr>
            <w:r w:rsidRPr="00E1371D">
              <w:rPr>
                <w:sz w:val="18"/>
                <w:szCs w:val="18"/>
              </w:rPr>
              <w:t>0.12</w:t>
            </w:r>
          </w:p>
        </w:tc>
        <w:tc>
          <w:tcPr>
            <w:tcW w:w="1311" w:type="dxa"/>
            <w:tcBorders>
              <w:top w:val="nil"/>
              <w:left w:val="nil"/>
              <w:bottom w:val="double" w:sz="6" w:space="0" w:color="auto"/>
              <w:right w:val="nil"/>
            </w:tcBorders>
            <w:shd w:val="clear" w:color="auto" w:fill="auto"/>
            <w:noWrap/>
            <w:vAlign w:val="bottom"/>
            <w:hideMark/>
          </w:tcPr>
          <w:p w14:paraId="60FC5E72" w14:textId="72C1822E" w:rsidR="00652476" w:rsidRPr="00DC36F1" w:rsidRDefault="00652476" w:rsidP="00652476">
            <w:pPr>
              <w:jc w:val="right"/>
              <w:rPr>
                <w:rFonts w:cs="Arial"/>
                <w:sz w:val="20"/>
                <w:szCs w:val="20"/>
                <w:lang w:eastAsia="tr-TR"/>
              </w:rPr>
            </w:pPr>
            <w:r w:rsidRPr="00E1371D">
              <w:rPr>
                <w:rFonts w:cs="Arial"/>
                <w:sz w:val="18"/>
                <w:szCs w:val="18"/>
                <w:lang w:eastAsia="tr-TR"/>
              </w:rPr>
              <w:t>0.09</w:t>
            </w:r>
          </w:p>
        </w:tc>
        <w:tc>
          <w:tcPr>
            <w:tcW w:w="802" w:type="dxa"/>
            <w:tcBorders>
              <w:top w:val="nil"/>
              <w:left w:val="nil"/>
              <w:bottom w:val="double" w:sz="6" w:space="0" w:color="auto"/>
              <w:right w:val="nil"/>
            </w:tcBorders>
            <w:shd w:val="clear" w:color="auto" w:fill="auto"/>
            <w:noWrap/>
            <w:vAlign w:val="bottom"/>
            <w:hideMark/>
          </w:tcPr>
          <w:p w14:paraId="4CC01421" w14:textId="0413093F" w:rsidR="00652476" w:rsidRPr="00DC36F1" w:rsidRDefault="00652476" w:rsidP="00652476">
            <w:pPr>
              <w:jc w:val="right"/>
              <w:rPr>
                <w:rFonts w:cs="Arial"/>
                <w:sz w:val="20"/>
                <w:szCs w:val="20"/>
                <w:lang w:eastAsia="tr-TR"/>
              </w:rPr>
            </w:pPr>
            <w:r>
              <w:rPr>
                <w:sz w:val="18"/>
                <w:szCs w:val="18"/>
              </w:rPr>
              <w:t>(</w:t>
            </w:r>
            <w:r w:rsidRPr="00E1371D">
              <w:rPr>
                <w:sz w:val="18"/>
                <w:szCs w:val="18"/>
              </w:rPr>
              <w:t>0.03</w:t>
            </w:r>
            <w:r>
              <w:rPr>
                <w:sz w:val="18"/>
                <w:szCs w:val="18"/>
              </w:rPr>
              <w:t>)</w:t>
            </w:r>
          </w:p>
        </w:tc>
      </w:tr>
    </w:tbl>
    <w:p w14:paraId="18CDD018" w14:textId="77777777" w:rsidR="00CA377A" w:rsidRPr="00F93668" w:rsidRDefault="00CA377A" w:rsidP="00CA377A">
      <w:pPr>
        <w:rPr>
          <w:sz w:val="8"/>
        </w:rPr>
      </w:pPr>
    </w:p>
    <w:p w14:paraId="09DC5005" w14:textId="1AD1350A" w:rsidR="00743D29" w:rsidRDefault="00C979AF" w:rsidP="00743D29">
      <w:pPr>
        <w:spacing w:line="228" w:lineRule="auto"/>
        <w:rPr>
          <w:rFonts w:cs="Arial"/>
          <w:i/>
          <w:iCs/>
          <w:color w:val="auto"/>
          <w:sz w:val="12"/>
          <w:szCs w:val="12"/>
          <w:lang w:eastAsia="tr-TR"/>
        </w:rPr>
      </w:pPr>
      <w:r>
        <w:rPr>
          <w:rFonts w:cs="Arial"/>
          <w:i/>
          <w:iCs/>
          <w:color w:val="auto"/>
          <w:sz w:val="12"/>
          <w:szCs w:val="12"/>
          <w:lang w:eastAsia="tr-TR"/>
        </w:rPr>
        <w:t>(*</w:t>
      </w:r>
      <w:r w:rsidR="00743D29" w:rsidRPr="00B605A2">
        <w:rPr>
          <w:rFonts w:cs="Arial"/>
          <w:i/>
          <w:iCs/>
          <w:color w:val="auto"/>
          <w:sz w:val="12"/>
          <w:szCs w:val="12"/>
          <w:lang w:eastAsia="tr-TR"/>
        </w:rPr>
        <w:t>) Önceki dönem kar</w:t>
      </w:r>
      <w:r w:rsidR="00743D29">
        <w:rPr>
          <w:rFonts w:cs="Arial"/>
          <w:i/>
          <w:iCs/>
          <w:color w:val="auto"/>
          <w:sz w:val="12"/>
          <w:szCs w:val="12"/>
          <w:lang w:eastAsia="tr-TR"/>
        </w:rPr>
        <w:t xml:space="preserve">lılık </w:t>
      </w:r>
      <w:r w:rsidR="006B5641">
        <w:rPr>
          <w:rFonts w:cs="Arial"/>
          <w:i/>
          <w:iCs/>
          <w:color w:val="auto"/>
          <w:sz w:val="12"/>
          <w:szCs w:val="12"/>
          <w:lang w:eastAsia="tr-TR"/>
        </w:rPr>
        <w:t xml:space="preserve"> rakam</w:t>
      </w:r>
      <w:r w:rsidR="00743D29">
        <w:rPr>
          <w:rFonts w:cs="Arial"/>
          <w:i/>
          <w:iCs/>
          <w:color w:val="auto"/>
          <w:sz w:val="12"/>
          <w:szCs w:val="12"/>
          <w:lang w:eastAsia="tr-TR"/>
        </w:rPr>
        <w:t>ları</w:t>
      </w:r>
      <w:r w:rsidR="00743D29" w:rsidRPr="00B605A2">
        <w:rPr>
          <w:rFonts w:cs="Arial"/>
          <w:i/>
          <w:iCs/>
          <w:color w:val="auto"/>
          <w:sz w:val="12"/>
          <w:szCs w:val="12"/>
          <w:lang w:eastAsia="tr-TR"/>
        </w:rPr>
        <w:t xml:space="preserve"> 3</w:t>
      </w:r>
      <w:r w:rsidR="000F7D37">
        <w:rPr>
          <w:rFonts w:cs="Arial"/>
          <w:i/>
          <w:iCs/>
          <w:color w:val="auto"/>
          <w:sz w:val="12"/>
          <w:szCs w:val="12"/>
          <w:lang w:eastAsia="tr-TR"/>
        </w:rPr>
        <w:t>0</w:t>
      </w:r>
      <w:r w:rsidR="00743D29" w:rsidRPr="00B605A2">
        <w:rPr>
          <w:rFonts w:cs="Arial"/>
          <w:i/>
          <w:iCs/>
          <w:color w:val="auto"/>
          <w:sz w:val="12"/>
          <w:szCs w:val="12"/>
          <w:lang w:eastAsia="tr-TR"/>
        </w:rPr>
        <w:t xml:space="preserve"> </w:t>
      </w:r>
      <w:r w:rsidR="000F7D37">
        <w:rPr>
          <w:rFonts w:cs="Arial"/>
          <w:i/>
          <w:iCs/>
          <w:color w:val="auto"/>
          <w:sz w:val="12"/>
          <w:szCs w:val="12"/>
          <w:lang w:eastAsia="tr-TR"/>
        </w:rPr>
        <w:t>Haziran</w:t>
      </w:r>
      <w:r w:rsidR="00743D29">
        <w:rPr>
          <w:rFonts w:cs="Arial"/>
          <w:i/>
          <w:iCs/>
          <w:color w:val="auto"/>
          <w:sz w:val="12"/>
          <w:szCs w:val="12"/>
          <w:lang w:eastAsia="tr-TR"/>
        </w:rPr>
        <w:t xml:space="preserve"> </w:t>
      </w:r>
      <w:r w:rsidR="00743D29" w:rsidRPr="00B605A2">
        <w:rPr>
          <w:rFonts w:cs="Arial"/>
          <w:i/>
          <w:iCs/>
          <w:color w:val="auto"/>
          <w:sz w:val="12"/>
          <w:szCs w:val="12"/>
          <w:lang w:eastAsia="tr-TR"/>
        </w:rPr>
        <w:t>202</w:t>
      </w:r>
      <w:r w:rsidR="00652476">
        <w:rPr>
          <w:rFonts w:cs="Arial"/>
          <w:i/>
          <w:iCs/>
          <w:color w:val="auto"/>
          <w:sz w:val="12"/>
          <w:szCs w:val="12"/>
          <w:lang w:eastAsia="tr-TR"/>
        </w:rPr>
        <w:t>2</w:t>
      </w:r>
      <w:r w:rsidR="00743D29" w:rsidRPr="00B605A2">
        <w:rPr>
          <w:rFonts w:cs="Arial"/>
          <w:i/>
          <w:iCs/>
          <w:color w:val="auto"/>
          <w:sz w:val="12"/>
          <w:szCs w:val="12"/>
          <w:lang w:eastAsia="tr-TR"/>
        </w:rPr>
        <w:t xml:space="preserve"> </w:t>
      </w:r>
      <w:r w:rsidR="00743D29">
        <w:rPr>
          <w:rFonts w:cs="Arial"/>
          <w:i/>
          <w:iCs/>
          <w:color w:val="auto"/>
          <w:sz w:val="12"/>
          <w:szCs w:val="12"/>
          <w:lang w:eastAsia="tr-TR"/>
        </w:rPr>
        <w:t>tarihine ait oranları göstermektedir.</w:t>
      </w:r>
      <w:r w:rsidR="00743D29" w:rsidRPr="00B605A2">
        <w:rPr>
          <w:rFonts w:cs="Arial"/>
          <w:i/>
          <w:iCs/>
          <w:color w:val="auto"/>
          <w:sz w:val="12"/>
          <w:szCs w:val="12"/>
          <w:lang w:eastAsia="tr-TR"/>
        </w:rPr>
        <w:t>.</w:t>
      </w:r>
    </w:p>
    <w:p w14:paraId="3A2C8DA6" w14:textId="3E6822A5" w:rsidR="005B2D3C" w:rsidRPr="005B2D3C" w:rsidRDefault="005B2D3C" w:rsidP="005B2D3C">
      <w:pPr>
        <w:spacing w:line="228" w:lineRule="auto"/>
        <w:rPr>
          <w:rFonts w:cs="Arial"/>
          <w:i/>
          <w:iCs/>
          <w:color w:val="auto"/>
          <w:sz w:val="12"/>
          <w:szCs w:val="12"/>
          <w:lang w:eastAsia="tr-TR"/>
        </w:rPr>
      </w:pPr>
      <w:r w:rsidRPr="005B2D3C">
        <w:rPr>
          <w:rFonts w:cs="Arial"/>
          <w:i/>
          <w:iCs/>
          <w:color w:val="auto"/>
          <w:sz w:val="12"/>
          <w:szCs w:val="12"/>
          <w:lang w:eastAsia="tr-TR"/>
        </w:rPr>
        <w:t>(</w:t>
      </w:r>
      <w:r>
        <w:rPr>
          <w:rFonts w:cs="Arial"/>
          <w:i/>
          <w:iCs/>
          <w:color w:val="auto"/>
          <w:sz w:val="12"/>
          <w:szCs w:val="12"/>
          <w:lang w:eastAsia="tr-TR"/>
        </w:rPr>
        <w:t>**</w:t>
      </w:r>
      <w:r w:rsidRPr="005B2D3C">
        <w:rPr>
          <w:rFonts w:cs="Arial"/>
          <w:i/>
          <w:iCs/>
          <w:color w:val="auto"/>
          <w:sz w:val="12"/>
          <w:szCs w:val="12"/>
          <w:lang w:eastAsia="tr-TR"/>
        </w:rPr>
        <w:t>) Gerçeğe uygun değer farkı diğer kapsamlı gelire yansıtılan finansal varlık olarak sınıflandırılan krediler dahil edilmiştir.</w:t>
      </w:r>
    </w:p>
    <w:p w14:paraId="5A42F8D6" w14:textId="284E4A28" w:rsidR="005B2D3C" w:rsidRPr="005B2D3C" w:rsidRDefault="005B2D3C" w:rsidP="005B2D3C">
      <w:pPr>
        <w:spacing w:line="228" w:lineRule="auto"/>
        <w:rPr>
          <w:rFonts w:cs="Arial"/>
          <w:i/>
          <w:iCs/>
          <w:color w:val="auto"/>
          <w:sz w:val="12"/>
          <w:szCs w:val="12"/>
          <w:lang w:eastAsia="tr-TR"/>
        </w:rPr>
      </w:pPr>
      <w:r>
        <w:rPr>
          <w:rFonts w:cs="Arial"/>
          <w:i/>
          <w:iCs/>
          <w:color w:val="auto"/>
          <w:sz w:val="12"/>
          <w:szCs w:val="12"/>
          <w:lang w:eastAsia="tr-TR"/>
        </w:rPr>
        <w:t>(***</w:t>
      </w:r>
      <w:r w:rsidRPr="005B2D3C">
        <w:rPr>
          <w:rFonts w:cs="Arial"/>
          <w:i/>
          <w:iCs/>
          <w:color w:val="auto"/>
          <w:sz w:val="12"/>
          <w:szCs w:val="12"/>
          <w:lang w:eastAsia="tr-TR"/>
        </w:rPr>
        <w:t>) Bankalar mevduatı hariçtir.</w:t>
      </w:r>
    </w:p>
    <w:p w14:paraId="3BC78F9F" w14:textId="5AB687B9" w:rsidR="00B9535A" w:rsidRDefault="00B9535A">
      <w:pPr>
        <w:spacing w:after="200" w:line="276" w:lineRule="auto"/>
        <w:rPr>
          <w:rFonts w:cs="Arial"/>
          <w:i/>
          <w:iCs/>
          <w:color w:val="auto"/>
          <w:sz w:val="12"/>
          <w:szCs w:val="12"/>
          <w:lang w:eastAsia="tr-TR"/>
        </w:rPr>
      </w:pPr>
      <w:r>
        <w:rPr>
          <w:rFonts w:cs="Arial"/>
          <w:i/>
          <w:iCs/>
          <w:color w:val="auto"/>
          <w:sz w:val="12"/>
          <w:szCs w:val="12"/>
          <w:lang w:eastAsia="tr-TR"/>
        </w:rPr>
        <w:br w:type="page"/>
      </w:r>
    </w:p>
    <w:p w14:paraId="0EE0E4A3" w14:textId="6BB6821F" w:rsidR="00CA377A" w:rsidRDefault="002F1FA1" w:rsidP="00CA377A">
      <w:pPr>
        <w:pStyle w:val="Heading1"/>
        <w:ind w:right="-568"/>
      </w:pPr>
      <w:bookmarkStart w:id="6" w:name="_Toc161725315"/>
      <w:bookmarkStart w:id="7" w:name="_Toc161725331"/>
      <w:bookmarkStart w:id="8" w:name="_Toc161725310"/>
      <w:bookmarkEnd w:id="5"/>
      <w:r>
        <w:lastRenderedPageBreak/>
        <w:t>Dönem İçindeki Önemli Olaylar ve İşlemler</w:t>
      </w:r>
    </w:p>
    <w:p w14:paraId="60729960" w14:textId="5796961A" w:rsidR="002F1FA1" w:rsidRDefault="002F1FA1" w:rsidP="002F1FA1">
      <w:r>
        <w:t>Bulunmamaktadır.</w:t>
      </w:r>
    </w:p>
    <w:p w14:paraId="5473D725" w14:textId="19D2B817" w:rsidR="00CA377A" w:rsidRPr="002F5032" w:rsidRDefault="00CA377A" w:rsidP="00CA377A">
      <w:pPr>
        <w:pStyle w:val="Heading1"/>
      </w:pPr>
      <w:bookmarkStart w:id="9" w:name="_Toc161305702"/>
      <w:bookmarkStart w:id="10" w:name="_Toc161725318"/>
      <w:bookmarkEnd w:id="6"/>
      <w:bookmarkEnd w:id="7"/>
      <w:r w:rsidRPr="002F5032">
        <w:t>Bankanın Dâhil Olduğu Risk Grubu İle Yaptığı İşlemlere İlişkin Bilgiler</w:t>
      </w:r>
      <w:bookmarkEnd w:id="9"/>
      <w:bookmarkEnd w:id="10"/>
    </w:p>
    <w:p w14:paraId="7B119C60" w14:textId="4D16CBD7" w:rsidR="00CA377A" w:rsidRPr="002F5032" w:rsidRDefault="00CA377A" w:rsidP="00DF11A2">
      <w:pPr>
        <w:pStyle w:val="anayaz"/>
        <w:spacing w:line="216" w:lineRule="auto"/>
        <w:ind w:right="-142"/>
      </w:pPr>
      <w:r w:rsidRPr="002F5032">
        <w:t>Banka’nın dâhil olduğu risk grubu ile olan ilişkileri Bankacılık Kanunu’na uygun olarak, normal banka-müşteri ilişkisi çerçevesinde ve piyasa koşulları dâhilinde her türlü bankacılık işlemlerini kapsamaktadır. Söz konusu işlemlerle ilgili ayrıntılı açıklamalar “</w:t>
      </w:r>
      <w:r w:rsidR="00327B25">
        <w:t>3</w:t>
      </w:r>
      <w:r w:rsidR="000F7D37">
        <w:t>0</w:t>
      </w:r>
      <w:r w:rsidR="00BB2F96">
        <w:t xml:space="preserve"> </w:t>
      </w:r>
      <w:r w:rsidR="000F7D37">
        <w:t>Haziran</w:t>
      </w:r>
      <w:r w:rsidR="00327B25">
        <w:t xml:space="preserve"> 202</w:t>
      </w:r>
      <w:r w:rsidR="00AB09FB">
        <w:t>3</w:t>
      </w:r>
      <w:bookmarkStart w:id="11" w:name="_GoBack"/>
      <w:bookmarkEnd w:id="11"/>
      <w:r w:rsidRPr="002F5032">
        <w:t xml:space="preserve"> tarihi itibarıyla hazırlanan Kamuya Açıklanacak Konsolide Olmayan Mali Tablolar, Bunlara İlişkin Açıklama ve Dipnotlar ile Sınırlı Bağımsız Denetim Raporu”nun beşinci </w:t>
      </w:r>
      <w:r w:rsidRPr="00863C8A">
        <w:t>bölümünün V no.lu</w:t>
      </w:r>
      <w:r w:rsidRPr="002F5032">
        <w:t xml:space="preserve"> dipnotunda yer almaktadır.</w:t>
      </w:r>
    </w:p>
    <w:p w14:paraId="6DA90B54" w14:textId="77777777" w:rsidR="00CA377A" w:rsidRPr="002F5032" w:rsidRDefault="00CA377A" w:rsidP="00CA377A">
      <w:pPr>
        <w:pStyle w:val="Heading1"/>
        <w:rPr>
          <w:color w:val="2F2F2F"/>
        </w:rPr>
      </w:pPr>
      <w:bookmarkStart w:id="12" w:name="OLE_LINK18"/>
      <w:bookmarkEnd w:id="8"/>
      <w:r w:rsidRPr="002F5032">
        <w:t>Risk Türleri İtibariyl</w:t>
      </w:r>
      <w:r>
        <w:t>a</w:t>
      </w:r>
      <w:r w:rsidRPr="002F5032">
        <w:t xml:space="preserve"> Uygulanan Risk Yönetimi Politikalarına İlişkin Bilgiler </w:t>
      </w:r>
      <w:r w:rsidRPr="002F5032">
        <w:rPr>
          <w:color w:val="2F2F2F"/>
        </w:rPr>
        <w:t xml:space="preserve">         </w:t>
      </w:r>
    </w:p>
    <w:p w14:paraId="0A91C89D" w14:textId="241BCF48" w:rsidR="0058461D" w:rsidRPr="006121B2" w:rsidRDefault="00CA377A" w:rsidP="00CA377A">
      <w:pPr>
        <w:rPr>
          <w:rFonts w:cs="Cambria"/>
          <w:color w:val="auto"/>
          <w:szCs w:val="22"/>
          <w:lang w:eastAsia="tr-TR"/>
        </w:rPr>
      </w:pPr>
      <w:r w:rsidRPr="002F5032">
        <w:rPr>
          <w:rFonts w:cs="Cambria"/>
          <w:color w:val="auto"/>
          <w:szCs w:val="22"/>
          <w:lang w:eastAsia="tr-TR"/>
        </w:rPr>
        <w:t>Rapor dönemi itibarıyla herhangi bir değişiklik olmamıştır.</w:t>
      </w:r>
    </w:p>
    <w:p w14:paraId="59E158FD" w14:textId="7EDCB78A" w:rsidR="00CA377A" w:rsidRDefault="00CA377A" w:rsidP="00CA377A">
      <w:pPr>
        <w:pStyle w:val="Heading1"/>
      </w:pPr>
      <w:bookmarkStart w:id="13" w:name="OLE_LINK246"/>
      <w:bookmarkEnd w:id="12"/>
      <w:r w:rsidRPr="002F5032">
        <w:t>Yıl İçinde Yapılan Bağışlar Hakkında Bilgiler</w:t>
      </w:r>
    </w:p>
    <w:tbl>
      <w:tblPr>
        <w:tblW w:w="8899" w:type="dxa"/>
        <w:tblInd w:w="70" w:type="dxa"/>
        <w:tblCellMar>
          <w:left w:w="70" w:type="dxa"/>
          <w:right w:w="70" w:type="dxa"/>
        </w:tblCellMar>
        <w:tblLook w:val="04A0" w:firstRow="1" w:lastRow="0" w:firstColumn="1" w:lastColumn="0" w:noHBand="0" w:noVBand="1"/>
      </w:tblPr>
      <w:tblGrid>
        <w:gridCol w:w="6655"/>
        <w:gridCol w:w="2244"/>
      </w:tblGrid>
      <w:tr w:rsidR="00990386" w:rsidRPr="00C62D57" w14:paraId="7988DA1E" w14:textId="77777777" w:rsidTr="00990386">
        <w:trPr>
          <w:trHeight w:val="295"/>
        </w:trPr>
        <w:tc>
          <w:tcPr>
            <w:tcW w:w="6655" w:type="dxa"/>
            <w:tcBorders>
              <w:top w:val="single" w:sz="4" w:space="0" w:color="auto"/>
              <w:left w:val="nil"/>
              <w:bottom w:val="single" w:sz="4" w:space="0" w:color="auto"/>
              <w:right w:val="nil"/>
            </w:tcBorders>
            <w:shd w:val="clear" w:color="000000" w:fill="FFCC99"/>
            <w:noWrap/>
            <w:vAlign w:val="bottom"/>
            <w:hideMark/>
          </w:tcPr>
          <w:p w14:paraId="687F6160" w14:textId="77777777" w:rsidR="00990386" w:rsidRPr="00C62D57" w:rsidRDefault="00990386" w:rsidP="0037548D">
            <w:pPr>
              <w:rPr>
                <w:rFonts w:cs="Arial"/>
                <w:b/>
                <w:bCs/>
                <w:szCs w:val="22"/>
                <w:lang w:eastAsia="tr-TR"/>
              </w:rPr>
            </w:pPr>
            <w:r w:rsidRPr="00C62D57">
              <w:rPr>
                <w:rFonts w:cs="Arial"/>
                <w:b/>
                <w:bCs/>
                <w:lang w:eastAsia="tr-TR"/>
              </w:rPr>
              <w:t>Bağış Yapılan Kurum (tam rakam)</w:t>
            </w:r>
          </w:p>
        </w:tc>
        <w:tc>
          <w:tcPr>
            <w:tcW w:w="2244" w:type="dxa"/>
            <w:tcBorders>
              <w:top w:val="single" w:sz="4" w:space="0" w:color="auto"/>
              <w:left w:val="nil"/>
              <w:bottom w:val="single" w:sz="4" w:space="0" w:color="auto"/>
              <w:right w:val="nil"/>
            </w:tcBorders>
            <w:shd w:val="clear" w:color="000000" w:fill="FFCC99"/>
            <w:noWrap/>
            <w:vAlign w:val="center"/>
            <w:hideMark/>
          </w:tcPr>
          <w:p w14:paraId="79C79AC1" w14:textId="77777777" w:rsidR="00990386" w:rsidRPr="00C62D57" w:rsidRDefault="00990386" w:rsidP="0037548D">
            <w:pPr>
              <w:jc w:val="right"/>
              <w:rPr>
                <w:rFonts w:cs="Arial"/>
                <w:b/>
                <w:bCs/>
                <w:szCs w:val="22"/>
                <w:lang w:eastAsia="tr-TR"/>
              </w:rPr>
            </w:pPr>
            <w:r w:rsidRPr="00C62D57">
              <w:rPr>
                <w:rFonts w:cs="Arial"/>
                <w:b/>
                <w:bCs/>
                <w:szCs w:val="22"/>
                <w:lang w:eastAsia="tr-TR"/>
              </w:rPr>
              <w:t>Tutar (TL)</w:t>
            </w:r>
          </w:p>
        </w:tc>
      </w:tr>
      <w:tr w:rsidR="00652476" w:rsidRPr="00C62D57" w14:paraId="61E39996" w14:textId="77777777" w:rsidTr="00990386">
        <w:trPr>
          <w:trHeight w:val="264"/>
        </w:trPr>
        <w:tc>
          <w:tcPr>
            <w:tcW w:w="6655" w:type="dxa"/>
            <w:tcBorders>
              <w:top w:val="nil"/>
              <w:left w:val="nil"/>
              <w:bottom w:val="nil"/>
              <w:right w:val="nil"/>
            </w:tcBorders>
            <w:shd w:val="clear" w:color="000000" w:fill="FFFFFF"/>
            <w:vAlign w:val="center"/>
            <w:hideMark/>
          </w:tcPr>
          <w:p w14:paraId="1224A26B" w14:textId="7E81C7D9" w:rsidR="00652476" w:rsidRPr="00C62D57" w:rsidRDefault="00652476" w:rsidP="00652476">
            <w:pPr>
              <w:rPr>
                <w:rFonts w:cs="Arial"/>
                <w:color w:val="auto"/>
                <w:sz w:val="20"/>
                <w:szCs w:val="20"/>
                <w:lang w:eastAsia="tr-TR"/>
              </w:rPr>
            </w:pPr>
            <w:r w:rsidRPr="00E1371D">
              <w:rPr>
                <w:rFonts w:cs="Arial"/>
                <w:bCs/>
                <w:sz w:val="18"/>
                <w:szCs w:val="18"/>
                <w:lang w:eastAsia="tr-TR"/>
              </w:rPr>
              <w:t>Deprem Bağışı</w:t>
            </w:r>
          </w:p>
        </w:tc>
        <w:tc>
          <w:tcPr>
            <w:tcW w:w="2244" w:type="dxa"/>
            <w:tcBorders>
              <w:top w:val="nil"/>
              <w:left w:val="nil"/>
              <w:bottom w:val="nil"/>
              <w:right w:val="nil"/>
            </w:tcBorders>
            <w:shd w:val="clear" w:color="000000" w:fill="FFFFFF"/>
            <w:vAlign w:val="center"/>
            <w:hideMark/>
          </w:tcPr>
          <w:p w14:paraId="22779D8B" w14:textId="3511C417" w:rsidR="00652476" w:rsidRPr="00C62D57" w:rsidRDefault="00652476" w:rsidP="00652476">
            <w:pPr>
              <w:jc w:val="right"/>
              <w:rPr>
                <w:rFonts w:cs="Arial"/>
                <w:sz w:val="20"/>
                <w:szCs w:val="20"/>
              </w:rPr>
            </w:pPr>
            <w:r w:rsidRPr="00E1371D">
              <w:rPr>
                <w:rFonts w:cs="Arial"/>
                <w:bCs/>
                <w:sz w:val="18"/>
                <w:szCs w:val="18"/>
                <w:lang w:eastAsia="tr-TR"/>
              </w:rPr>
              <w:t>1,000</w:t>
            </w:r>
            <w:r>
              <w:rPr>
                <w:rFonts w:cs="Arial"/>
                <w:bCs/>
                <w:sz w:val="18"/>
                <w:szCs w:val="18"/>
                <w:lang w:eastAsia="tr-TR"/>
              </w:rPr>
              <w:t>,000.00</w:t>
            </w:r>
          </w:p>
        </w:tc>
      </w:tr>
      <w:tr w:rsidR="00652476" w:rsidRPr="00C62D57" w14:paraId="5E7C5D4E" w14:textId="77777777" w:rsidTr="00990386">
        <w:trPr>
          <w:trHeight w:val="264"/>
        </w:trPr>
        <w:tc>
          <w:tcPr>
            <w:tcW w:w="6655" w:type="dxa"/>
            <w:tcBorders>
              <w:top w:val="nil"/>
              <w:left w:val="nil"/>
              <w:bottom w:val="nil"/>
              <w:right w:val="nil"/>
            </w:tcBorders>
            <w:shd w:val="clear" w:color="000000" w:fill="FFFFFF"/>
            <w:vAlign w:val="center"/>
          </w:tcPr>
          <w:p w14:paraId="1FCC9E06" w14:textId="656C26FE" w:rsidR="00652476" w:rsidRPr="00C62D57" w:rsidRDefault="00652476" w:rsidP="00652476">
            <w:pPr>
              <w:rPr>
                <w:rFonts w:cs="Arial"/>
                <w:color w:val="auto"/>
                <w:sz w:val="20"/>
                <w:szCs w:val="20"/>
                <w:lang w:eastAsia="tr-TR"/>
              </w:rPr>
            </w:pPr>
            <w:r w:rsidRPr="00E1371D">
              <w:rPr>
                <w:rFonts w:cs="Arial"/>
                <w:bCs/>
                <w:sz w:val="18"/>
                <w:szCs w:val="18"/>
                <w:lang w:eastAsia="tr-TR"/>
              </w:rPr>
              <w:t xml:space="preserve"> Türkiye Bankalar Birliği</w:t>
            </w:r>
          </w:p>
        </w:tc>
        <w:tc>
          <w:tcPr>
            <w:tcW w:w="2244" w:type="dxa"/>
            <w:tcBorders>
              <w:top w:val="nil"/>
              <w:left w:val="nil"/>
              <w:bottom w:val="nil"/>
              <w:right w:val="nil"/>
            </w:tcBorders>
            <w:shd w:val="clear" w:color="000000" w:fill="FFFFFF"/>
            <w:vAlign w:val="center"/>
          </w:tcPr>
          <w:p w14:paraId="07D70235" w14:textId="077DCB4E" w:rsidR="00652476" w:rsidRDefault="00652476" w:rsidP="00652476">
            <w:pPr>
              <w:jc w:val="right"/>
              <w:rPr>
                <w:rFonts w:cs="Tahoma"/>
                <w:sz w:val="20"/>
                <w:szCs w:val="20"/>
              </w:rPr>
            </w:pPr>
            <w:r w:rsidRPr="00E1371D">
              <w:rPr>
                <w:rFonts w:cs="Arial"/>
                <w:bCs/>
                <w:sz w:val="18"/>
                <w:szCs w:val="18"/>
                <w:lang w:eastAsia="tr-TR"/>
              </w:rPr>
              <w:t>64</w:t>
            </w:r>
            <w:r>
              <w:rPr>
                <w:rFonts w:cs="Arial"/>
                <w:bCs/>
                <w:sz w:val="18"/>
                <w:szCs w:val="18"/>
                <w:lang w:eastAsia="tr-TR"/>
              </w:rPr>
              <w:t>,000.00</w:t>
            </w:r>
          </w:p>
        </w:tc>
      </w:tr>
      <w:tr w:rsidR="00652476" w:rsidRPr="00C62D57" w14:paraId="4C81BB56" w14:textId="77777777" w:rsidTr="00990386">
        <w:trPr>
          <w:trHeight w:val="264"/>
        </w:trPr>
        <w:tc>
          <w:tcPr>
            <w:tcW w:w="6655" w:type="dxa"/>
            <w:tcBorders>
              <w:top w:val="nil"/>
              <w:left w:val="nil"/>
              <w:bottom w:val="nil"/>
              <w:right w:val="nil"/>
            </w:tcBorders>
            <w:shd w:val="clear" w:color="000000" w:fill="FFFFFF"/>
            <w:vAlign w:val="center"/>
          </w:tcPr>
          <w:p w14:paraId="4380DEA4" w14:textId="6C387322" w:rsidR="00652476" w:rsidRDefault="00652476" w:rsidP="00652476">
            <w:pPr>
              <w:rPr>
                <w:rFonts w:cs="Arial"/>
                <w:color w:val="auto"/>
                <w:sz w:val="20"/>
                <w:szCs w:val="20"/>
                <w:lang w:eastAsia="tr-TR"/>
              </w:rPr>
            </w:pPr>
            <w:r w:rsidRPr="00E1371D">
              <w:rPr>
                <w:rFonts w:cs="Arial"/>
                <w:bCs/>
                <w:sz w:val="18"/>
                <w:szCs w:val="18"/>
                <w:lang w:eastAsia="tr-TR"/>
              </w:rPr>
              <w:t>Türk Eğitim Vakfi</w:t>
            </w:r>
          </w:p>
        </w:tc>
        <w:tc>
          <w:tcPr>
            <w:tcW w:w="2244" w:type="dxa"/>
            <w:tcBorders>
              <w:top w:val="nil"/>
              <w:left w:val="nil"/>
              <w:bottom w:val="nil"/>
              <w:right w:val="nil"/>
            </w:tcBorders>
            <w:shd w:val="clear" w:color="000000" w:fill="FFFFFF"/>
            <w:vAlign w:val="center"/>
          </w:tcPr>
          <w:p w14:paraId="41EA1704" w14:textId="4E9AE04E" w:rsidR="00652476" w:rsidRDefault="00652476" w:rsidP="00652476">
            <w:pPr>
              <w:jc w:val="right"/>
              <w:rPr>
                <w:rFonts w:cs="Tahoma"/>
                <w:sz w:val="20"/>
                <w:szCs w:val="20"/>
              </w:rPr>
            </w:pPr>
            <w:r w:rsidRPr="00E1371D">
              <w:rPr>
                <w:rFonts w:cs="Arial"/>
                <w:bCs/>
                <w:sz w:val="18"/>
                <w:szCs w:val="18"/>
                <w:lang w:eastAsia="tr-TR"/>
              </w:rPr>
              <w:t>6</w:t>
            </w:r>
            <w:r>
              <w:rPr>
                <w:rFonts w:cs="Arial"/>
                <w:bCs/>
                <w:sz w:val="18"/>
                <w:szCs w:val="18"/>
                <w:lang w:eastAsia="tr-TR"/>
              </w:rPr>
              <w:t>,000.00</w:t>
            </w:r>
          </w:p>
        </w:tc>
      </w:tr>
      <w:tr w:rsidR="00990386" w:rsidRPr="002F5032" w14:paraId="2D649FC8" w14:textId="77777777" w:rsidTr="00990386">
        <w:trPr>
          <w:trHeight w:val="279"/>
        </w:trPr>
        <w:tc>
          <w:tcPr>
            <w:tcW w:w="6655" w:type="dxa"/>
            <w:tcBorders>
              <w:top w:val="single" w:sz="4" w:space="0" w:color="auto"/>
              <w:left w:val="nil"/>
              <w:bottom w:val="double" w:sz="6" w:space="0" w:color="auto"/>
              <w:right w:val="nil"/>
            </w:tcBorders>
            <w:shd w:val="clear" w:color="000000" w:fill="FFFFFF"/>
            <w:noWrap/>
            <w:vAlign w:val="center"/>
            <w:hideMark/>
          </w:tcPr>
          <w:p w14:paraId="73880341" w14:textId="77777777" w:rsidR="00990386" w:rsidRPr="00C62D57" w:rsidRDefault="00990386" w:rsidP="0037548D">
            <w:pPr>
              <w:rPr>
                <w:rFonts w:cs="Arial"/>
                <w:b/>
                <w:color w:val="auto"/>
                <w:sz w:val="20"/>
                <w:szCs w:val="20"/>
                <w:lang w:eastAsia="tr-TR"/>
              </w:rPr>
            </w:pPr>
            <w:r w:rsidRPr="00C62D57">
              <w:rPr>
                <w:rFonts w:cs="Arial"/>
                <w:b/>
                <w:color w:val="auto"/>
                <w:sz w:val="20"/>
                <w:szCs w:val="20"/>
                <w:lang w:eastAsia="tr-TR"/>
              </w:rPr>
              <w:t>Toplam</w:t>
            </w:r>
          </w:p>
        </w:tc>
        <w:tc>
          <w:tcPr>
            <w:tcW w:w="2244" w:type="dxa"/>
            <w:tcBorders>
              <w:top w:val="single" w:sz="4" w:space="0" w:color="auto"/>
              <w:left w:val="nil"/>
              <w:bottom w:val="double" w:sz="6" w:space="0" w:color="auto"/>
              <w:right w:val="nil"/>
            </w:tcBorders>
            <w:shd w:val="clear" w:color="000000" w:fill="FFFFFF"/>
            <w:vAlign w:val="center"/>
            <w:hideMark/>
          </w:tcPr>
          <w:p w14:paraId="43F1C6CE" w14:textId="6304F62E" w:rsidR="00990386" w:rsidRPr="00C62D57" w:rsidRDefault="00652476" w:rsidP="0037548D">
            <w:pPr>
              <w:jc w:val="right"/>
              <w:rPr>
                <w:rFonts w:cs="Tahoma"/>
                <w:b/>
                <w:sz w:val="20"/>
                <w:szCs w:val="20"/>
              </w:rPr>
            </w:pPr>
            <w:r>
              <w:rPr>
                <w:rFonts w:cs="Tahoma"/>
                <w:b/>
                <w:sz w:val="20"/>
                <w:szCs w:val="20"/>
              </w:rPr>
              <w:t>1,070,000.00</w:t>
            </w:r>
          </w:p>
        </w:tc>
      </w:tr>
    </w:tbl>
    <w:p w14:paraId="314664FA" w14:textId="392EDA30" w:rsidR="00CA377A" w:rsidRPr="002F5032" w:rsidRDefault="00CA377A" w:rsidP="00CA377A">
      <w:pPr>
        <w:pStyle w:val="Heading1"/>
      </w:pPr>
      <w:bookmarkStart w:id="14" w:name="_Toc161725329"/>
      <w:bookmarkEnd w:id="13"/>
      <w:r w:rsidRPr="002F5032">
        <w:t>Konsolide Olmayan</w:t>
      </w:r>
      <w:bookmarkEnd w:id="14"/>
      <w:r w:rsidRPr="002F5032">
        <w:rPr>
          <w:noProof/>
          <w:lang w:eastAsia="tr-TR"/>
        </w:rPr>
        <w:drawing>
          <wp:anchor distT="0" distB="0" distL="114300" distR="114300" simplePos="0" relativeHeight="251659264" behindDoc="0" locked="0" layoutInCell="1" allowOverlap="1" wp14:anchorId="76B74926" wp14:editId="707E386E">
            <wp:simplePos x="0" y="0"/>
            <wp:positionH relativeFrom="column">
              <wp:posOffset>0</wp:posOffset>
            </wp:positionH>
            <wp:positionV relativeFrom="paragraph">
              <wp:posOffset>0</wp:posOffset>
            </wp:positionV>
            <wp:extent cx="28575" cy="285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5" w:name="_Toc161725327"/>
      <w:r w:rsidRPr="002F5032">
        <w:t xml:space="preserve"> Sınırlı Denetim Raporu</w:t>
      </w:r>
      <w:bookmarkEnd w:id="15"/>
      <w:r w:rsidRPr="002F5032">
        <w:t xml:space="preserve"> </w:t>
      </w:r>
    </w:p>
    <w:p w14:paraId="749C97EB" w14:textId="574F01FB" w:rsidR="00CA377A" w:rsidRDefault="00CA377A" w:rsidP="00CA377A">
      <w:pPr>
        <w:ind w:right="-143"/>
        <w:jc w:val="both"/>
        <w:rPr>
          <w:rFonts w:cs="Tahoma"/>
          <w:color w:val="auto"/>
          <w:szCs w:val="22"/>
        </w:rPr>
      </w:pPr>
      <w:r w:rsidRPr="002F5032">
        <w:rPr>
          <w:rFonts w:cs="Tahoma"/>
          <w:color w:val="auto"/>
          <w:szCs w:val="22"/>
        </w:rPr>
        <w:t>ICBC Turkey Bank Anonim Şirketi’nin (ICBC Turkey)</w:t>
      </w:r>
      <w:r w:rsidRPr="002F5032">
        <w:rPr>
          <w:rFonts w:cs="StagSans-Light"/>
          <w:color w:val="3C3C3B"/>
          <w:sz w:val="24"/>
          <w:lang w:eastAsia="tr-TR"/>
        </w:rPr>
        <w:t xml:space="preserve"> </w:t>
      </w:r>
      <w:r w:rsidRPr="002F5032">
        <w:rPr>
          <w:rFonts w:cs="Tahoma"/>
          <w:color w:val="auto"/>
          <w:szCs w:val="22"/>
        </w:rPr>
        <w:t>Borsa İstanbul’a yapılan tüm özel durum açıklamalarına, 3</w:t>
      </w:r>
      <w:r w:rsidR="000F7D37">
        <w:rPr>
          <w:rFonts w:cs="Tahoma"/>
          <w:color w:val="auto"/>
          <w:szCs w:val="22"/>
        </w:rPr>
        <w:t>0</w:t>
      </w:r>
      <w:r w:rsidR="00327B25">
        <w:rPr>
          <w:rFonts w:cs="Tahoma"/>
          <w:color w:val="auto"/>
          <w:szCs w:val="22"/>
        </w:rPr>
        <w:t>.0</w:t>
      </w:r>
      <w:r w:rsidR="000F7D37">
        <w:rPr>
          <w:rFonts w:cs="Tahoma"/>
          <w:color w:val="auto"/>
          <w:szCs w:val="22"/>
        </w:rPr>
        <w:t>6</w:t>
      </w:r>
      <w:r w:rsidRPr="002F5032">
        <w:rPr>
          <w:rFonts w:cs="Tahoma"/>
          <w:color w:val="auto"/>
          <w:szCs w:val="22"/>
        </w:rPr>
        <w:t>.20</w:t>
      </w:r>
      <w:r w:rsidR="00327B25">
        <w:rPr>
          <w:rFonts w:cs="Tahoma"/>
          <w:color w:val="auto"/>
          <w:szCs w:val="22"/>
        </w:rPr>
        <w:t>2</w:t>
      </w:r>
      <w:r w:rsidR="00652476">
        <w:rPr>
          <w:rFonts w:cs="Tahoma"/>
          <w:color w:val="auto"/>
          <w:szCs w:val="22"/>
        </w:rPr>
        <w:t>3</w:t>
      </w:r>
      <w:r w:rsidR="000F7D37">
        <w:rPr>
          <w:rFonts w:cs="Tahoma"/>
          <w:color w:val="auto"/>
          <w:szCs w:val="22"/>
        </w:rPr>
        <w:t xml:space="preserve"> tarihinde sona eren altı</w:t>
      </w:r>
      <w:r w:rsidRPr="002F5032">
        <w:rPr>
          <w:rFonts w:cs="Tahoma"/>
          <w:color w:val="auto"/>
          <w:szCs w:val="22"/>
        </w:rPr>
        <w:t xml:space="preserve"> aylık hesap dönemine ait Konsolide Olmayan Finansal Tabloları ile Sınırlı Bağımsız Denetim Raporu’na ve ICBC Turkey faaliyetleri hakkında detaylı bilgi için raporlara </w:t>
      </w:r>
      <w:hyperlink r:id="rId11" w:history="1">
        <w:r w:rsidRPr="008028F1">
          <w:rPr>
            <w:rStyle w:val="Hyperlink"/>
            <w:rFonts w:cs="Tahoma"/>
            <w:b/>
            <w:bCs/>
            <w:szCs w:val="22"/>
          </w:rPr>
          <w:t>www.icbc.com</w:t>
        </w:r>
      </w:hyperlink>
      <w:r w:rsidRPr="008028F1">
        <w:rPr>
          <w:rStyle w:val="Hyperlink"/>
          <w:rFonts w:cs="Tahoma"/>
          <w:b/>
          <w:szCs w:val="22"/>
        </w:rPr>
        <w:t>.tr</w:t>
      </w:r>
      <w:r w:rsidRPr="002F5032">
        <w:rPr>
          <w:rFonts w:cs="Tahoma"/>
          <w:b/>
          <w:bCs/>
          <w:color w:val="auto"/>
          <w:szCs w:val="22"/>
        </w:rPr>
        <w:t xml:space="preserve"> </w:t>
      </w:r>
      <w:r w:rsidRPr="002F5032">
        <w:rPr>
          <w:rFonts w:cs="Tahoma"/>
          <w:color w:val="auto"/>
          <w:szCs w:val="22"/>
        </w:rPr>
        <w:t>adresindeki “</w:t>
      </w:r>
      <w:r w:rsidRPr="002F5032">
        <w:rPr>
          <w:rFonts w:cs="Tahoma"/>
          <w:bCs/>
          <w:color w:val="auto"/>
          <w:szCs w:val="22"/>
        </w:rPr>
        <w:t>Yatırımcı İlişkileri</w:t>
      </w:r>
      <w:r w:rsidRPr="002F5032">
        <w:rPr>
          <w:rFonts w:cs="Tahoma"/>
          <w:color w:val="auto"/>
          <w:szCs w:val="22"/>
        </w:rPr>
        <w:t xml:space="preserve"> ” başlığı altında yer alan Finansal Bilgilerden ulaşılması mümkündür.</w:t>
      </w:r>
      <w:r>
        <w:rPr>
          <w:rFonts w:cs="Tahoma"/>
          <w:color w:val="auto"/>
          <w:szCs w:val="22"/>
        </w:rPr>
        <w:t xml:space="preserve"> </w:t>
      </w:r>
    </w:p>
    <w:p w14:paraId="367D0F0D" w14:textId="77777777" w:rsidR="007A1A25" w:rsidRDefault="007A1A25"/>
    <w:sectPr w:rsidR="007A1A25">
      <w:headerReference w:type="default" r:id="rId12"/>
      <w:footerReference w:type="even" r:id="rId13"/>
      <w:footerReference w:type="default" r:id="rId14"/>
      <w:pgSz w:w="11907" w:h="16840" w:code="9"/>
      <w:pgMar w:top="1134" w:right="1418" w:bottom="1134" w:left="1701"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F9F84" w14:textId="77777777" w:rsidR="00C801B7" w:rsidRDefault="00C801B7" w:rsidP="00CA377A">
      <w:r>
        <w:separator/>
      </w:r>
    </w:p>
  </w:endnote>
  <w:endnote w:type="continuationSeparator" w:id="0">
    <w:p w14:paraId="588530F9" w14:textId="77777777" w:rsidR="00C801B7" w:rsidRDefault="00C801B7" w:rsidP="00C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StagSans-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AA63" w14:textId="77777777" w:rsidR="00C801B7" w:rsidRDefault="00C80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545D3" w14:textId="77777777" w:rsidR="00C801B7" w:rsidRDefault="00C801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2FCD" w14:textId="77777777" w:rsidR="00C801B7" w:rsidRDefault="00C801B7">
    <w:pPr>
      <w:pStyle w:val="Footer"/>
      <w:ind w:right="360"/>
      <w:rPr>
        <w:rFonts w:ascii="Tahoma" w:hAnsi="Tahoma" w:cs="Tahoma"/>
        <w:sz w:val="18"/>
      </w:rPr>
    </w:pPr>
    <w:r>
      <w:rPr>
        <w:noProof/>
        <w:sz w:val="20"/>
        <w:lang w:eastAsia="tr-TR"/>
      </w:rPr>
      <mc:AlternateContent>
        <mc:Choice Requires="wps">
          <w:drawing>
            <wp:anchor distT="0" distB="0" distL="114300" distR="114300" simplePos="0" relativeHeight="251659264" behindDoc="0" locked="0" layoutInCell="1" allowOverlap="1" wp14:anchorId="15850EDA" wp14:editId="2C977605">
              <wp:simplePos x="0" y="0"/>
              <wp:positionH relativeFrom="column">
                <wp:posOffset>0</wp:posOffset>
              </wp:positionH>
              <wp:positionV relativeFrom="paragraph">
                <wp:posOffset>-70485</wp:posOffset>
              </wp:positionV>
              <wp:extent cx="5829300" cy="0"/>
              <wp:effectExtent l="13335" t="9525" r="1524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5F0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5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" strokecolor="#f90" strokeweight="1.5pt"/>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B726" w14:textId="77777777" w:rsidR="00C801B7" w:rsidRDefault="00C801B7" w:rsidP="00CA377A">
      <w:r>
        <w:separator/>
      </w:r>
    </w:p>
  </w:footnote>
  <w:footnote w:type="continuationSeparator" w:id="0">
    <w:p w14:paraId="49D6D169" w14:textId="77777777" w:rsidR="00C801B7" w:rsidRDefault="00C801B7" w:rsidP="00C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5A18" w14:textId="77777777" w:rsidR="00C801B7" w:rsidRPr="00FF1BF8" w:rsidRDefault="00C801B7" w:rsidP="004E08CA">
    <w:pPr>
      <w:jc w:val="center"/>
      <w:rPr>
        <w:rFonts w:cs="Tahoma"/>
        <w:b/>
        <w:bCs/>
        <w:color w:val="FF6600"/>
        <w:szCs w:val="22"/>
      </w:rPr>
    </w:pPr>
    <w:r w:rsidRPr="00FF1BF8">
      <w:rPr>
        <w:rFonts w:ascii="Tms Rmn" w:hAnsi="Tms Rmn"/>
        <w:noProof/>
        <w:color w:val="auto"/>
        <w:sz w:val="32"/>
        <w:szCs w:val="32"/>
        <w:lang w:eastAsia="tr-TR"/>
      </w:rPr>
      <w:drawing>
        <wp:inline distT="0" distB="0" distL="0" distR="0" wp14:anchorId="6CC22EA2" wp14:editId="7083EAB2">
          <wp:extent cx="1527175" cy="4832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483235"/>
                  </a:xfrm>
                  <a:prstGeom prst="rect">
                    <a:avLst/>
                  </a:prstGeom>
                  <a:noFill/>
                  <a:ln>
                    <a:noFill/>
                  </a:ln>
                </pic:spPr>
              </pic:pic>
            </a:graphicData>
          </a:graphic>
        </wp:inline>
      </w:drawing>
    </w:r>
  </w:p>
  <w:p w14:paraId="0C4DFF66" w14:textId="77777777" w:rsidR="00C801B7" w:rsidRDefault="00C801B7">
    <w:pPr>
      <w:pStyle w:val="Header"/>
    </w:pPr>
    <w:r>
      <w:rPr>
        <w:noProof/>
        <w:sz w:val="20"/>
        <w:lang w:eastAsia="tr-TR"/>
      </w:rPr>
      <mc:AlternateContent>
        <mc:Choice Requires="wps">
          <w:drawing>
            <wp:anchor distT="0" distB="0" distL="114300" distR="114300" simplePos="0" relativeHeight="251660288" behindDoc="0" locked="0" layoutInCell="1" allowOverlap="1" wp14:anchorId="0FCF9399" wp14:editId="295DFB79">
              <wp:simplePos x="0" y="0"/>
              <wp:positionH relativeFrom="column">
                <wp:posOffset>0</wp:posOffset>
              </wp:positionH>
              <wp:positionV relativeFrom="paragraph">
                <wp:posOffset>142240</wp:posOffset>
              </wp:positionV>
              <wp:extent cx="5829300" cy="0"/>
              <wp:effectExtent l="13335" t="16510" r="1524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AF0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45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" strokecolor="#f9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1D7"/>
    <w:multiLevelType w:val="hybridMultilevel"/>
    <w:tmpl w:val="8CCE4D22"/>
    <w:lvl w:ilvl="0" w:tplc="01E62F2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604E7"/>
    <w:multiLevelType w:val="hybridMultilevel"/>
    <w:tmpl w:val="6002A52A"/>
    <w:lvl w:ilvl="0" w:tplc="01E62F2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D119A"/>
    <w:multiLevelType w:val="hybridMultilevel"/>
    <w:tmpl w:val="08FC0E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57"/>
    <w:rsid w:val="00004876"/>
    <w:rsid w:val="0002065D"/>
    <w:rsid w:val="00023C25"/>
    <w:rsid w:val="00030DB3"/>
    <w:rsid w:val="000517E9"/>
    <w:rsid w:val="00096B54"/>
    <w:rsid w:val="000A6673"/>
    <w:rsid w:val="000B50E5"/>
    <w:rsid w:val="000F7D37"/>
    <w:rsid w:val="00115618"/>
    <w:rsid w:val="00157600"/>
    <w:rsid w:val="00157C7B"/>
    <w:rsid w:val="001818A3"/>
    <w:rsid w:val="00183B19"/>
    <w:rsid w:val="001864E0"/>
    <w:rsid w:val="001D03D4"/>
    <w:rsid w:val="001E7A5E"/>
    <w:rsid w:val="00204263"/>
    <w:rsid w:val="00225E6B"/>
    <w:rsid w:val="002428B4"/>
    <w:rsid w:val="00245D7D"/>
    <w:rsid w:val="00273617"/>
    <w:rsid w:val="00274560"/>
    <w:rsid w:val="00295B1D"/>
    <w:rsid w:val="002C661D"/>
    <w:rsid w:val="002D4E67"/>
    <w:rsid w:val="002D644D"/>
    <w:rsid w:val="002F1FA1"/>
    <w:rsid w:val="002F3A3A"/>
    <w:rsid w:val="002F6C57"/>
    <w:rsid w:val="00302410"/>
    <w:rsid w:val="00306F87"/>
    <w:rsid w:val="00316F05"/>
    <w:rsid w:val="003177DF"/>
    <w:rsid w:val="0032393B"/>
    <w:rsid w:val="00326FCC"/>
    <w:rsid w:val="00327B25"/>
    <w:rsid w:val="00340491"/>
    <w:rsid w:val="0034407A"/>
    <w:rsid w:val="003463FA"/>
    <w:rsid w:val="003642C7"/>
    <w:rsid w:val="003846B9"/>
    <w:rsid w:val="00394F32"/>
    <w:rsid w:val="00395605"/>
    <w:rsid w:val="003C7D62"/>
    <w:rsid w:val="003D10CF"/>
    <w:rsid w:val="003D4A99"/>
    <w:rsid w:val="003F5A08"/>
    <w:rsid w:val="003F5DE5"/>
    <w:rsid w:val="00411C9A"/>
    <w:rsid w:val="00430730"/>
    <w:rsid w:val="00454F6E"/>
    <w:rsid w:val="00456A1A"/>
    <w:rsid w:val="0047378A"/>
    <w:rsid w:val="00480C9C"/>
    <w:rsid w:val="00495DF0"/>
    <w:rsid w:val="004969E3"/>
    <w:rsid w:val="004B5B31"/>
    <w:rsid w:val="004D4DA0"/>
    <w:rsid w:val="004D5030"/>
    <w:rsid w:val="004E08CA"/>
    <w:rsid w:val="004E672A"/>
    <w:rsid w:val="005000A5"/>
    <w:rsid w:val="005224B3"/>
    <w:rsid w:val="005329BA"/>
    <w:rsid w:val="0054391C"/>
    <w:rsid w:val="0054550E"/>
    <w:rsid w:val="00556F7F"/>
    <w:rsid w:val="00575660"/>
    <w:rsid w:val="00580F81"/>
    <w:rsid w:val="0058461D"/>
    <w:rsid w:val="00595B1E"/>
    <w:rsid w:val="0059695F"/>
    <w:rsid w:val="005A6D8A"/>
    <w:rsid w:val="005B2D3C"/>
    <w:rsid w:val="005C4518"/>
    <w:rsid w:val="005F2C69"/>
    <w:rsid w:val="006121B2"/>
    <w:rsid w:val="00652476"/>
    <w:rsid w:val="006710EC"/>
    <w:rsid w:val="00677D32"/>
    <w:rsid w:val="00696C68"/>
    <w:rsid w:val="006B5641"/>
    <w:rsid w:val="006E7FD2"/>
    <w:rsid w:val="006F4DD4"/>
    <w:rsid w:val="00711181"/>
    <w:rsid w:val="0072506E"/>
    <w:rsid w:val="00743D29"/>
    <w:rsid w:val="00753B44"/>
    <w:rsid w:val="00753FC8"/>
    <w:rsid w:val="00792A67"/>
    <w:rsid w:val="00793EB6"/>
    <w:rsid w:val="007A1A25"/>
    <w:rsid w:val="007A4B11"/>
    <w:rsid w:val="007C0A4B"/>
    <w:rsid w:val="007D5A6F"/>
    <w:rsid w:val="007F35E3"/>
    <w:rsid w:val="008122D6"/>
    <w:rsid w:val="00822BBD"/>
    <w:rsid w:val="00842611"/>
    <w:rsid w:val="00863C8A"/>
    <w:rsid w:val="00863F44"/>
    <w:rsid w:val="0087269F"/>
    <w:rsid w:val="00885FFD"/>
    <w:rsid w:val="008925B3"/>
    <w:rsid w:val="008942F3"/>
    <w:rsid w:val="008A35E7"/>
    <w:rsid w:val="008F0B98"/>
    <w:rsid w:val="008F7108"/>
    <w:rsid w:val="009020C3"/>
    <w:rsid w:val="009073A5"/>
    <w:rsid w:val="00907967"/>
    <w:rsid w:val="009145AA"/>
    <w:rsid w:val="009313CA"/>
    <w:rsid w:val="00937216"/>
    <w:rsid w:val="00942193"/>
    <w:rsid w:val="009618B7"/>
    <w:rsid w:val="00972328"/>
    <w:rsid w:val="00983631"/>
    <w:rsid w:val="00990386"/>
    <w:rsid w:val="00992145"/>
    <w:rsid w:val="009A07EB"/>
    <w:rsid w:val="009A7C79"/>
    <w:rsid w:val="009B6171"/>
    <w:rsid w:val="009F5B93"/>
    <w:rsid w:val="009F7F3D"/>
    <w:rsid w:val="00A0325C"/>
    <w:rsid w:val="00A44623"/>
    <w:rsid w:val="00A47BFC"/>
    <w:rsid w:val="00A8114C"/>
    <w:rsid w:val="00AB09FB"/>
    <w:rsid w:val="00AB6A00"/>
    <w:rsid w:val="00AC0288"/>
    <w:rsid w:val="00AC0B0D"/>
    <w:rsid w:val="00AD2895"/>
    <w:rsid w:val="00AE1FB9"/>
    <w:rsid w:val="00AE4756"/>
    <w:rsid w:val="00AE60AB"/>
    <w:rsid w:val="00B06BFA"/>
    <w:rsid w:val="00B132FF"/>
    <w:rsid w:val="00B1552A"/>
    <w:rsid w:val="00B30850"/>
    <w:rsid w:val="00B41809"/>
    <w:rsid w:val="00B52B95"/>
    <w:rsid w:val="00B605A2"/>
    <w:rsid w:val="00B9355E"/>
    <w:rsid w:val="00B9535A"/>
    <w:rsid w:val="00BB2C72"/>
    <w:rsid w:val="00BB2F96"/>
    <w:rsid w:val="00BC0748"/>
    <w:rsid w:val="00BE5898"/>
    <w:rsid w:val="00BF1A3E"/>
    <w:rsid w:val="00BF1F66"/>
    <w:rsid w:val="00C0743C"/>
    <w:rsid w:val="00C214EB"/>
    <w:rsid w:val="00C34D2B"/>
    <w:rsid w:val="00C55270"/>
    <w:rsid w:val="00C65F7F"/>
    <w:rsid w:val="00C801B7"/>
    <w:rsid w:val="00C979AF"/>
    <w:rsid w:val="00CA377A"/>
    <w:rsid w:val="00CB303F"/>
    <w:rsid w:val="00CF226B"/>
    <w:rsid w:val="00D160AA"/>
    <w:rsid w:val="00D20F9F"/>
    <w:rsid w:val="00D34851"/>
    <w:rsid w:val="00D65D13"/>
    <w:rsid w:val="00D73480"/>
    <w:rsid w:val="00D73F6A"/>
    <w:rsid w:val="00D804DD"/>
    <w:rsid w:val="00D854E7"/>
    <w:rsid w:val="00DB73C0"/>
    <w:rsid w:val="00DC09B5"/>
    <w:rsid w:val="00DC36F1"/>
    <w:rsid w:val="00DD0F05"/>
    <w:rsid w:val="00DF11A2"/>
    <w:rsid w:val="00DF66B1"/>
    <w:rsid w:val="00E36DAB"/>
    <w:rsid w:val="00E7723A"/>
    <w:rsid w:val="00EB4721"/>
    <w:rsid w:val="00ED6479"/>
    <w:rsid w:val="00F01FF1"/>
    <w:rsid w:val="00F13BF0"/>
    <w:rsid w:val="00F16AE0"/>
    <w:rsid w:val="00F21105"/>
    <w:rsid w:val="00F45496"/>
    <w:rsid w:val="00F62F23"/>
    <w:rsid w:val="00F74359"/>
    <w:rsid w:val="00F81EB9"/>
    <w:rsid w:val="00FB1748"/>
    <w:rsid w:val="00FB3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ABAE7C2"/>
  <w15:chartTrackingRefBased/>
  <w15:docId w15:val="{1BBE32B1-42F6-4C8A-B671-F051AD2A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7A"/>
    <w:pPr>
      <w:spacing w:after="0" w:line="240" w:lineRule="auto"/>
    </w:pPr>
    <w:rPr>
      <w:rFonts w:ascii="Cambria" w:eastAsia="Times New Roman" w:hAnsi="Cambria" w:cs="Times New Roman"/>
      <w:color w:val="000000"/>
      <w:szCs w:val="24"/>
    </w:rPr>
  </w:style>
  <w:style w:type="paragraph" w:styleId="Heading1">
    <w:name w:val="heading 1"/>
    <w:basedOn w:val="Normal"/>
    <w:next w:val="Normal"/>
    <w:link w:val="Heading1Char"/>
    <w:qFormat/>
    <w:rsid w:val="00CA377A"/>
    <w:pPr>
      <w:keepNext/>
      <w:spacing w:before="360" w:after="360"/>
      <w:outlineLvl w:val="0"/>
    </w:pPr>
    <w:rPr>
      <w:b/>
      <w:bCs/>
      <w:color w:val="4F81BD"/>
      <w:sz w:val="28"/>
    </w:rPr>
  </w:style>
  <w:style w:type="paragraph" w:styleId="Heading2">
    <w:name w:val="heading 2"/>
    <w:basedOn w:val="Normal"/>
    <w:next w:val="Normal"/>
    <w:link w:val="Heading2Char"/>
    <w:qFormat/>
    <w:rsid w:val="00CA377A"/>
    <w:pPr>
      <w:keepNext/>
      <w:outlineLvl w:val="1"/>
    </w:pPr>
    <w:rPr>
      <w:rFonts w:ascii="Tahoma" w:hAnsi="Tahoma" w:cs="Tahoma"/>
      <w:b/>
      <w:bCs/>
      <w:sz w:val="20"/>
    </w:rPr>
  </w:style>
  <w:style w:type="paragraph" w:styleId="Heading3">
    <w:name w:val="heading 3"/>
    <w:basedOn w:val="Normal"/>
    <w:next w:val="Normal"/>
    <w:link w:val="Heading3Char"/>
    <w:qFormat/>
    <w:rsid w:val="00CA377A"/>
    <w:pPr>
      <w:keepNext/>
      <w:jc w:val="center"/>
      <w:outlineLvl w:val="2"/>
    </w:pPr>
    <w:rPr>
      <w:rFonts w:ascii="Tahoma" w:hAnsi="Tahoma" w:cs="Tahoma"/>
      <w:b/>
      <w:bCs/>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377A"/>
    <w:pPr>
      <w:tabs>
        <w:tab w:val="center" w:pos="4536"/>
        <w:tab w:val="right" w:pos="9072"/>
      </w:tabs>
    </w:pPr>
  </w:style>
  <w:style w:type="character" w:customStyle="1" w:styleId="HeaderChar">
    <w:name w:val="Header Char"/>
    <w:basedOn w:val="DefaultParagraphFont"/>
    <w:link w:val="Header"/>
    <w:rsid w:val="00CA377A"/>
  </w:style>
  <w:style w:type="paragraph" w:styleId="Footer">
    <w:name w:val="footer"/>
    <w:basedOn w:val="Normal"/>
    <w:link w:val="FooterChar"/>
    <w:unhideWhenUsed/>
    <w:rsid w:val="00CA377A"/>
    <w:pPr>
      <w:tabs>
        <w:tab w:val="center" w:pos="4536"/>
        <w:tab w:val="right" w:pos="9072"/>
      </w:tabs>
    </w:pPr>
  </w:style>
  <w:style w:type="character" w:customStyle="1" w:styleId="FooterChar">
    <w:name w:val="Footer Char"/>
    <w:basedOn w:val="DefaultParagraphFont"/>
    <w:link w:val="Footer"/>
    <w:uiPriority w:val="99"/>
    <w:rsid w:val="00CA377A"/>
  </w:style>
  <w:style w:type="character" w:customStyle="1" w:styleId="Heading1Char">
    <w:name w:val="Heading 1 Char"/>
    <w:basedOn w:val="DefaultParagraphFont"/>
    <w:link w:val="Heading1"/>
    <w:rsid w:val="00CA377A"/>
    <w:rPr>
      <w:rFonts w:ascii="Cambria" w:eastAsia="Times New Roman" w:hAnsi="Cambria" w:cs="Times New Roman"/>
      <w:b/>
      <w:bCs/>
      <w:color w:val="4F81BD"/>
      <w:sz w:val="28"/>
      <w:szCs w:val="24"/>
    </w:rPr>
  </w:style>
  <w:style w:type="character" w:customStyle="1" w:styleId="Heading2Char">
    <w:name w:val="Heading 2 Char"/>
    <w:basedOn w:val="DefaultParagraphFont"/>
    <w:link w:val="Heading2"/>
    <w:rsid w:val="00CA377A"/>
    <w:rPr>
      <w:rFonts w:ascii="Tahoma" w:eastAsia="Times New Roman" w:hAnsi="Tahoma" w:cs="Tahoma"/>
      <w:b/>
      <w:bCs/>
      <w:color w:val="000000"/>
      <w:sz w:val="20"/>
      <w:szCs w:val="24"/>
    </w:rPr>
  </w:style>
  <w:style w:type="character" w:customStyle="1" w:styleId="Heading3Char">
    <w:name w:val="Heading 3 Char"/>
    <w:basedOn w:val="DefaultParagraphFont"/>
    <w:link w:val="Heading3"/>
    <w:rsid w:val="00CA377A"/>
    <w:rPr>
      <w:rFonts w:ascii="Tahoma" w:eastAsia="Times New Roman" w:hAnsi="Tahoma" w:cs="Tahoma"/>
      <w:b/>
      <w:bCs/>
      <w:color w:val="FF0000"/>
      <w:sz w:val="40"/>
      <w:szCs w:val="24"/>
    </w:rPr>
  </w:style>
  <w:style w:type="character" w:styleId="Hyperlink">
    <w:name w:val="Hyperlink"/>
    <w:uiPriority w:val="99"/>
    <w:semiHidden/>
    <w:rsid w:val="00CA377A"/>
    <w:rPr>
      <w:color w:val="0000FF"/>
      <w:u w:val="single"/>
    </w:rPr>
  </w:style>
  <w:style w:type="paragraph" w:styleId="NormalWeb">
    <w:name w:val="Normal (Web)"/>
    <w:basedOn w:val="Normal"/>
    <w:semiHidden/>
    <w:rsid w:val="00CA377A"/>
    <w:pPr>
      <w:spacing w:before="100" w:beforeAutospacing="1" w:after="100" w:afterAutospacing="1"/>
    </w:pPr>
  </w:style>
  <w:style w:type="paragraph" w:styleId="BodyText">
    <w:name w:val="Body Text"/>
    <w:basedOn w:val="Normal"/>
    <w:link w:val="BodyTextChar"/>
    <w:semiHidden/>
    <w:rsid w:val="00CA377A"/>
    <w:pPr>
      <w:spacing w:after="120"/>
    </w:pPr>
  </w:style>
  <w:style w:type="character" w:customStyle="1" w:styleId="BodyTextChar">
    <w:name w:val="Body Text Char"/>
    <w:basedOn w:val="DefaultParagraphFont"/>
    <w:link w:val="BodyText"/>
    <w:semiHidden/>
    <w:rsid w:val="00CA377A"/>
    <w:rPr>
      <w:rFonts w:ascii="Cambria" w:eastAsia="Times New Roman" w:hAnsi="Cambria" w:cs="Times New Roman"/>
      <w:color w:val="000000"/>
      <w:szCs w:val="24"/>
    </w:rPr>
  </w:style>
  <w:style w:type="paragraph" w:customStyle="1" w:styleId="Default">
    <w:name w:val="Default"/>
    <w:rsid w:val="00CA377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PageNumber">
    <w:name w:val="page number"/>
    <w:basedOn w:val="DefaultParagraphFont"/>
    <w:semiHidden/>
    <w:rsid w:val="00CA377A"/>
  </w:style>
  <w:style w:type="paragraph" w:customStyle="1" w:styleId="Style1">
    <w:name w:val="Style1"/>
    <w:basedOn w:val="TOAHeading"/>
    <w:qFormat/>
    <w:rsid w:val="00CA377A"/>
    <w:pPr>
      <w:pBdr>
        <w:bottom w:val="thinThickSmallGap" w:sz="12" w:space="1" w:color="1F497D"/>
      </w:pBdr>
    </w:pPr>
    <w:rPr>
      <w:rFonts w:cs="Tahoma"/>
      <w:color w:val="333399"/>
      <w:sz w:val="36"/>
      <w:szCs w:val="36"/>
    </w:rPr>
  </w:style>
  <w:style w:type="paragraph" w:styleId="TOAHeading">
    <w:name w:val="toa heading"/>
    <w:basedOn w:val="Normal"/>
    <w:next w:val="Normal"/>
    <w:unhideWhenUsed/>
    <w:rsid w:val="00CA377A"/>
    <w:rPr>
      <w:b/>
      <w:bCs/>
      <w:sz w:val="24"/>
    </w:rPr>
  </w:style>
  <w:style w:type="paragraph" w:customStyle="1" w:styleId="anayaz">
    <w:name w:val="ana yazı"/>
    <w:basedOn w:val="NormalWeb"/>
    <w:qFormat/>
    <w:rsid w:val="00CA377A"/>
    <w:pPr>
      <w:spacing w:before="120" w:beforeAutospacing="0" w:after="120" w:afterAutospacing="0"/>
      <w:jc w:val="both"/>
    </w:pPr>
    <w:rPr>
      <w:color w:val="auto"/>
    </w:rPr>
  </w:style>
  <w:style w:type="character" w:customStyle="1" w:styleId="apple-converted-space">
    <w:name w:val="apple-converted-space"/>
    <w:rsid w:val="00CA377A"/>
  </w:style>
  <w:style w:type="character" w:styleId="CommentReference">
    <w:name w:val="annotation reference"/>
    <w:basedOn w:val="DefaultParagraphFont"/>
    <w:uiPriority w:val="99"/>
    <w:semiHidden/>
    <w:unhideWhenUsed/>
    <w:rsid w:val="003463FA"/>
    <w:rPr>
      <w:sz w:val="16"/>
      <w:szCs w:val="16"/>
    </w:rPr>
  </w:style>
  <w:style w:type="paragraph" w:styleId="CommentText">
    <w:name w:val="annotation text"/>
    <w:basedOn w:val="Normal"/>
    <w:link w:val="CommentTextChar"/>
    <w:uiPriority w:val="99"/>
    <w:semiHidden/>
    <w:unhideWhenUsed/>
    <w:rsid w:val="003463FA"/>
    <w:rPr>
      <w:sz w:val="20"/>
      <w:szCs w:val="20"/>
    </w:rPr>
  </w:style>
  <w:style w:type="character" w:customStyle="1" w:styleId="CommentTextChar">
    <w:name w:val="Comment Text Char"/>
    <w:basedOn w:val="DefaultParagraphFont"/>
    <w:link w:val="CommentText"/>
    <w:uiPriority w:val="99"/>
    <w:semiHidden/>
    <w:rsid w:val="003463FA"/>
    <w:rPr>
      <w:rFonts w:ascii="Cambria" w:eastAsia="Times New Roman" w:hAnsi="Cambri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463FA"/>
    <w:rPr>
      <w:b/>
      <w:bCs/>
    </w:rPr>
  </w:style>
  <w:style w:type="character" w:customStyle="1" w:styleId="CommentSubjectChar">
    <w:name w:val="Comment Subject Char"/>
    <w:basedOn w:val="CommentTextChar"/>
    <w:link w:val="CommentSubject"/>
    <w:uiPriority w:val="99"/>
    <w:semiHidden/>
    <w:rsid w:val="003463FA"/>
    <w:rPr>
      <w:rFonts w:ascii="Cambria" w:eastAsia="Times New Roman" w:hAnsi="Cambria" w:cs="Times New Roman"/>
      <w:b/>
      <w:bCs/>
      <w:color w:val="000000"/>
      <w:sz w:val="20"/>
      <w:szCs w:val="20"/>
    </w:rPr>
  </w:style>
  <w:style w:type="paragraph" w:styleId="BalloonText">
    <w:name w:val="Balloon Text"/>
    <w:basedOn w:val="Normal"/>
    <w:link w:val="BalloonTextChar"/>
    <w:uiPriority w:val="99"/>
    <w:semiHidden/>
    <w:unhideWhenUsed/>
    <w:rsid w:val="00346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3FA"/>
    <w:rPr>
      <w:rFonts w:ascii="Segoe UI" w:eastAsia="Times New Roman" w:hAnsi="Segoe UI" w:cs="Segoe UI"/>
      <w:color w:val="000000"/>
      <w:sz w:val="18"/>
      <w:szCs w:val="18"/>
    </w:rPr>
  </w:style>
  <w:style w:type="paragraph" w:customStyle="1" w:styleId="xl46">
    <w:name w:val="xl46"/>
    <w:basedOn w:val="Normal"/>
    <w:rsid w:val="00B605A2"/>
    <w:pPr>
      <w:spacing w:before="100" w:beforeAutospacing="1" w:after="100" w:afterAutospacing="1"/>
    </w:pPr>
    <w:rPr>
      <w:rFonts w:ascii="Times New Roman" w:eastAsia="Arial Unicode MS" w:hAnsi="Times New Roman"/>
      <w:b/>
      <w:bCs/>
      <w:color w:val="auto"/>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5092">
      <w:bodyDiv w:val="1"/>
      <w:marLeft w:val="0"/>
      <w:marRight w:val="0"/>
      <w:marTop w:val="0"/>
      <w:marBottom w:val="0"/>
      <w:divBdr>
        <w:top w:val="none" w:sz="0" w:space="0" w:color="auto"/>
        <w:left w:val="none" w:sz="0" w:space="0" w:color="auto"/>
        <w:bottom w:val="none" w:sz="0" w:space="0" w:color="auto"/>
        <w:right w:val="none" w:sz="0" w:space="0" w:color="auto"/>
      </w:divBdr>
    </w:div>
    <w:div w:id="161508678">
      <w:bodyDiv w:val="1"/>
      <w:marLeft w:val="0"/>
      <w:marRight w:val="0"/>
      <w:marTop w:val="0"/>
      <w:marBottom w:val="0"/>
      <w:divBdr>
        <w:top w:val="none" w:sz="0" w:space="0" w:color="auto"/>
        <w:left w:val="none" w:sz="0" w:space="0" w:color="auto"/>
        <w:bottom w:val="none" w:sz="0" w:space="0" w:color="auto"/>
        <w:right w:val="none" w:sz="0" w:space="0" w:color="auto"/>
      </w:divBdr>
    </w:div>
    <w:div w:id="278491778">
      <w:bodyDiv w:val="1"/>
      <w:marLeft w:val="0"/>
      <w:marRight w:val="0"/>
      <w:marTop w:val="0"/>
      <w:marBottom w:val="0"/>
      <w:divBdr>
        <w:top w:val="none" w:sz="0" w:space="0" w:color="auto"/>
        <w:left w:val="none" w:sz="0" w:space="0" w:color="auto"/>
        <w:bottom w:val="none" w:sz="0" w:space="0" w:color="auto"/>
        <w:right w:val="none" w:sz="0" w:space="0" w:color="auto"/>
      </w:divBdr>
    </w:div>
    <w:div w:id="596527109">
      <w:bodyDiv w:val="1"/>
      <w:marLeft w:val="0"/>
      <w:marRight w:val="0"/>
      <w:marTop w:val="0"/>
      <w:marBottom w:val="0"/>
      <w:divBdr>
        <w:top w:val="none" w:sz="0" w:space="0" w:color="auto"/>
        <w:left w:val="none" w:sz="0" w:space="0" w:color="auto"/>
        <w:bottom w:val="none" w:sz="0" w:space="0" w:color="auto"/>
        <w:right w:val="none" w:sz="0" w:space="0" w:color="auto"/>
      </w:divBdr>
    </w:div>
    <w:div w:id="846477774">
      <w:bodyDiv w:val="1"/>
      <w:marLeft w:val="0"/>
      <w:marRight w:val="0"/>
      <w:marTop w:val="0"/>
      <w:marBottom w:val="0"/>
      <w:divBdr>
        <w:top w:val="none" w:sz="0" w:space="0" w:color="auto"/>
        <w:left w:val="none" w:sz="0" w:space="0" w:color="auto"/>
        <w:bottom w:val="none" w:sz="0" w:space="0" w:color="auto"/>
        <w:right w:val="none" w:sz="0" w:space="0" w:color="auto"/>
      </w:divBdr>
    </w:div>
    <w:div w:id="982462246">
      <w:bodyDiv w:val="1"/>
      <w:marLeft w:val="0"/>
      <w:marRight w:val="0"/>
      <w:marTop w:val="0"/>
      <w:marBottom w:val="0"/>
      <w:divBdr>
        <w:top w:val="none" w:sz="0" w:space="0" w:color="auto"/>
        <w:left w:val="none" w:sz="0" w:space="0" w:color="auto"/>
        <w:bottom w:val="none" w:sz="0" w:space="0" w:color="auto"/>
        <w:right w:val="none" w:sz="0" w:space="0" w:color="auto"/>
      </w:divBdr>
    </w:div>
    <w:div w:id="1148012723">
      <w:bodyDiv w:val="1"/>
      <w:marLeft w:val="0"/>
      <w:marRight w:val="0"/>
      <w:marTop w:val="0"/>
      <w:marBottom w:val="0"/>
      <w:divBdr>
        <w:top w:val="none" w:sz="0" w:space="0" w:color="auto"/>
        <w:left w:val="none" w:sz="0" w:space="0" w:color="auto"/>
        <w:bottom w:val="none" w:sz="0" w:space="0" w:color="auto"/>
        <w:right w:val="none" w:sz="0" w:space="0" w:color="auto"/>
      </w:divBdr>
    </w:div>
    <w:div w:id="1231188828">
      <w:bodyDiv w:val="1"/>
      <w:marLeft w:val="0"/>
      <w:marRight w:val="0"/>
      <w:marTop w:val="0"/>
      <w:marBottom w:val="0"/>
      <w:divBdr>
        <w:top w:val="none" w:sz="0" w:space="0" w:color="auto"/>
        <w:left w:val="none" w:sz="0" w:space="0" w:color="auto"/>
        <w:bottom w:val="none" w:sz="0" w:space="0" w:color="auto"/>
        <w:right w:val="none" w:sz="0" w:space="0" w:color="auto"/>
      </w:divBdr>
    </w:div>
    <w:div w:id="1440561882">
      <w:bodyDiv w:val="1"/>
      <w:marLeft w:val="0"/>
      <w:marRight w:val="0"/>
      <w:marTop w:val="0"/>
      <w:marBottom w:val="0"/>
      <w:divBdr>
        <w:top w:val="none" w:sz="0" w:space="0" w:color="auto"/>
        <w:left w:val="none" w:sz="0" w:space="0" w:color="auto"/>
        <w:bottom w:val="none" w:sz="0" w:space="0" w:color="auto"/>
        <w:right w:val="none" w:sz="0" w:space="0" w:color="auto"/>
      </w:divBdr>
    </w:div>
    <w:div w:id="1465586939">
      <w:bodyDiv w:val="1"/>
      <w:marLeft w:val="0"/>
      <w:marRight w:val="0"/>
      <w:marTop w:val="0"/>
      <w:marBottom w:val="0"/>
      <w:divBdr>
        <w:top w:val="none" w:sz="0" w:space="0" w:color="auto"/>
        <w:left w:val="none" w:sz="0" w:space="0" w:color="auto"/>
        <w:bottom w:val="none" w:sz="0" w:space="0" w:color="auto"/>
        <w:right w:val="none" w:sz="0" w:space="0" w:color="auto"/>
      </w:divBdr>
    </w:div>
    <w:div w:id="1692610517">
      <w:bodyDiv w:val="1"/>
      <w:marLeft w:val="0"/>
      <w:marRight w:val="0"/>
      <w:marTop w:val="0"/>
      <w:marBottom w:val="0"/>
      <w:divBdr>
        <w:top w:val="none" w:sz="0" w:space="0" w:color="auto"/>
        <w:left w:val="none" w:sz="0" w:space="0" w:color="auto"/>
        <w:bottom w:val="none" w:sz="0" w:space="0" w:color="auto"/>
        <w:right w:val="none" w:sz="0" w:space="0" w:color="auto"/>
      </w:divBdr>
    </w:div>
    <w:div w:id="1727532743">
      <w:bodyDiv w:val="1"/>
      <w:marLeft w:val="0"/>
      <w:marRight w:val="0"/>
      <w:marTop w:val="0"/>
      <w:marBottom w:val="0"/>
      <w:divBdr>
        <w:top w:val="none" w:sz="0" w:space="0" w:color="auto"/>
        <w:left w:val="none" w:sz="0" w:space="0" w:color="auto"/>
        <w:bottom w:val="none" w:sz="0" w:space="0" w:color="auto"/>
        <w:right w:val="none" w:sz="0" w:space="0" w:color="auto"/>
      </w:divBdr>
    </w:div>
    <w:div w:id="17449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b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icbc.com.t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da350c-f623-46cd-97b7-a406c093975d" origin="defaultVal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5FB1-C89F-46BB-8E92-6B32C026B19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6B9B00F-9EBA-411C-A4E4-47BEFF3F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7</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TUGUL</dc:creator>
  <cp:keywords/>
  <dc:description/>
  <cp:lastModifiedBy>HUSEYIN DUMAN</cp:lastModifiedBy>
  <cp:revision>102</cp:revision>
  <cp:lastPrinted>2022-04-27T14:23:00Z</cp:lastPrinted>
  <dcterms:created xsi:type="dcterms:W3CDTF">2021-04-13T13:13:00Z</dcterms:created>
  <dcterms:modified xsi:type="dcterms:W3CDTF">2023-11-07T14:31:00Z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dd4b3dbf-fb2a-4f1a-a18d-91b05c5e3714</vt:lpwstr>
  </property>
  <property fmtid="{D5CDD505-2E9C-101B-9397-08002B2CF9AE}" pid="3" name="bjSaver">
    <vt:lpwstr>D0Qr0tOP59xecBu/Itdq5PD4af755wfg</vt:lpwstr>
  </property>
  <property fmtid="{D5CDD505-2E9C-101B-9397-08002B2CF9AE}" pid="4" name="bjDocumentSecurityLabel">
    <vt:lpwstr>This item has no classification</vt:lpwstr>
  </property>
</Properties>
</file>